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FA8" w:rsidRDefault="00A71FA8" w:rsidP="00A71FA8">
      <w:pPr>
        <w:pStyle w:val="NormalnyWeb"/>
        <w:spacing w:after="198"/>
        <w:jc w:val="center"/>
      </w:pPr>
      <w:r>
        <w:t>Rozbudowa systemu monitoringu na terenie Nowego i Starego Zoo w Poznaniu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1"/>
        </w:numPr>
        <w:spacing w:after="198"/>
      </w:pPr>
      <w:r>
        <w:t>Zakres prac</w:t>
      </w:r>
    </w:p>
    <w:p w:rsidR="00A71FA8" w:rsidRDefault="00A71FA8" w:rsidP="00A71FA8">
      <w:pPr>
        <w:pStyle w:val="NormalnyWeb"/>
        <w:numPr>
          <w:ilvl w:val="0"/>
          <w:numId w:val="2"/>
        </w:numPr>
        <w:spacing w:after="198"/>
      </w:pPr>
      <w:r>
        <w:t xml:space="preserve">rozbudowę eksploatowanego przez Zamawiającego systemu monitoringu opartego na rejestratorze </w:t>
      </w:r>
      <w:proofErr w:type="spellStart"/>
      <w:r>
        <w:t>Geutebrück</w:t>
      </w:r>
      <w:proofErr w:type="spellEnd"/>
      <w:r>
        <w:t xml:space="preserve"> </w:t>
      </w:r>
      <w:proofErr w:type="spellStart"/>
      <w:r>
        <w:t>G-Scope</w:t>
      </w:r>
      <w:proofErr w:type="spellEnd"/>
      <w:r>
        <w:t xml:space="preserve"> 3000+ o dodatkowy nowy rejestrator </w:t>
      </w:r>
      <w:proofErr w:type="spellStart"/>
      <w:r>
        <w:t>Geutebrück</w:t>
      </w:r>
      <w:proofErr w:type="spellEnd"/>
      <w:r>
        <w:t xml:space="preserve"> </w:t>
      </w:r>
      <w:proofErr w:type="spellStart"/>
      <w:r>
        <w:t>G-Scope</w:t>
      </w:r>
      <w:proofErr w:type="spellEnd"/>
      <w:r>
        <w:t xml:space="preserve"> 8000+</w:t>
      </w:r>
      <w:r w:rsidR="00B2362E">
        <w:t xml:space="preserve"> lub równoważny</w:t>
      </w:r>
      <w:r>
        <w:t xml:space="preserve"> wraz z dyskami, licencjami dla 128 kamer, licencjami na 6 stacji podglądowych, funkcjonalnością rozpoznawania numerów rejestracyjnych pojazdów,</w:t>
      </w:r>
    </w:p>
    <w:p w:rsidR="00A71FA8" w:rsidRDefault="00A71FA8" w:rsidP="00A71FA8">
      <w:pPr>
        <w:pStyle w:val="NormalnyWeb"/>
        <w:numPr>
          <w:ilvl w:val="0"/>
          <w:numId w:val="3"/>
        </w:numPr>
        <w:spacing w:after="198"/>
      </w:pPr>
      <w:bookmarkStart w:id="0" w:name="_GoBack1"/>
      <w:bookmarkEnd w:id="0"/>
      <w:r>
        <w:t xml:space="preserve">dostawę 3 dodatkowych licencji na stacje podglądowe do eksploatowanego już przez Zamawiającego rejestratora </w:t>
      </w:r>
      <w:proofErr w:type="spellStart"/>
      <w:r>
        <w:t>Geutebrück</w:t>
      </w:r>
      <w:proofErr w:type="spellEnd"/>
      <w:r>
        <w:t xml:space="preserve"> </w:t>
      </w:r>
      <w:proofErr w:type="spellStart"/>
      <w:r>
        <w:t>G-Scope</w:t>
      </w:r>
      <w:proofErr w:type="spellEnd"/>
      <w:r>
        <w:t xml:space="preserve"> 3000+</w:t>
      </w:r>
    </w:p>
    <w:p w:rsidR="00A71FA8" w:rsidRDefault="00A71FA8" w:rsidP="00A71FA8">
      <w:pPr>
        <w:pStyle w:val="NormalnyWeb"/>
        <w:numPr>
          <w:ilvl w:val="0"/>
          <w:numId w:val="4"/>
        </w:numPr>
        <w:spacing w:after="198"/>
      </w:pPr>
      <w:r>
        <w:t>dostawę urządzeń oraz modernizację dotychczasowego, starego systemu w zakresie wymiany analogowych kamer zewnętrznych oraz wewnętrznych, dołożenie nowych kompletnych punktów kamerowych IP, budowa lokalnych punktów dystrybucyjnych, wymianę i rozbudowę urządzeń wchodzących w skład stanowisk operatorskich, budowę monitoringu systemu wjazdowego wraz z rozpoznawaniem numerów rejestracyjnych pojazdów dla dwóch bram zlokalizowanych na terenie Nowego Zoo, wykonanie linii zasilających i sygnałowych do budowanych punktów kamerowych oraz lokalnych punktów dystrybucyjnych,</w:t>
      </w:r>
    </w:p>
    <w:p w:rsidR="00A71FA8" w:rsidRDefault="00A71FA8" w:rsidP="00A71FA8">
      <w:pPr>
        <w:pStyle w:val="NormalnyWeb"/>
        <w:numPr>
          <w:ilvl w:val="0"/>
          <w:numId w:val="5"/>
        </w:numPr>
        <w:spacing w:after="198"/>
      </w:pPr>
      <w:r>
        <w:t>przeszkolenie osób mających pracować na stacjach podglądowych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spacing w:after="198"/>
      </w:pPr>
      <w:r>
        <w:t xml:space="preserve">Strumienie wizyjne z kamer, poprzez sieć światłowodową mają trafiać do centralnego systemu rejestracji i zarządzania systemem CCTV. Stacje podglądowe poprzez sieć Ethernet, łączyć się będą z centralnym systemem rejestracji i zarządzania. Za jego pośrednictwem otrzymają dostęp do strumieni wizyjnych z kamer. 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6"/>
        </w:numPr>
        <w:spacing w:after="198"/>
      </w:pPr>
      <w:r>
        <w:t>Założenia ogólne:</w:t>
      </w:r>
    </w:p>
    <w:p w:rsidR="00A71FA8" w:rsidRDefault="00A71FA8" w:rsidP="00A71FA8">
      <w:pPr>
        <w:pStyle w:val="NormalnyWeb"/>
        <w:spacing w:after="198"/>
      </w:pPr>
      <w:r>
        <w:t>- system oparty o technologię IP,</w:t>
      </w:r>
    </w:p>
    <w:p w:rsidR="00A71FA8" w:rsidRDefault="00A71FA8" w:rsidP="00A71FA8">
      <w:pPr>
        <w:pStyle w:val="NormalnyWeb"/>
        <w:spacing w:after="198"/>
      </w:pPr>
      <w:r>
        <w:t>- system otwarty, z możliwością podłączenia kamer wielu producentów,</w:t>
      </w:r>
    </w:p>
    <w:p w:rsidR="00A71FA8" w:rsidRDefault="00A71FA8" w:rsidP="00A71FA8">
      <w:pPr>
        <w:pStyle w:val="NormalnyWeb"/>
        <w:spacing w:after="198"/>
      </w:pPr>
      <w:r>
        <w:t>- transmisja sygnału wizyjnego IP drogą przewodową (skrętka, światłowód)</w:t>
      </w:r>
    </w:p>
    <w:p w:rsidR="00A71FA8" w:rsidRDefault="00A71FA8" w:rsidP="00A71FA8">
      <w:pPr>
        <w:pStyle w:val="NormalnyWeb"/>
        <w:spacing w:after="198"/>
      </w:pPr>
      <w:r>
        <w:t>- ilość nowo instalowanych kamer stałopozycyjnych: 40</w:t>
      </w:r>
    </w:p>
    <w:p w:rsidR="00A71FA8" w:rsidRDefault="00A71FA8" w:rsidP="00A71FA8">
      <w:pPr>
        <w:pStyle w:val="NormalnyWeb"/>
        <w:spacing w:after="198"/>
      </w:pPr>
      <w:r>
        <w:t>- ilość stacji operatorskich: 5</w:t>
      </w:r>
    </w:p>
    <w:p w:rsidR="00A71FA8" w:rsidRDefault="00A71FA8" w:rsidP="00A71FA8">
      <w:pPr>
        <w:pStyle w:val="NormalnyWeb"/>
        <w:spacing w:after="198"/>
      </w:pPr>
      <w:r>
        <w:t>- ilość głośników IP: 2</w:t>
      </w:r>
    </w:p>
    <w:p w:rsidR="00A71FA8" w:rsidRDefault="00A71FA8" w:rsidP="00A71FA8">
      <w:pPr>
        <w:pStyle w:val="NormalnyWeb"/>
        <w:spacing w:after="198"/>
      </w:pPr>
      <w:r>
        <w:lastRenderedPageBreak/>
        <w:t>- sieć Ethernet jako warstwa komunikacyjna - wszystkie urządzenia (kamery, głośniki, serwery, stacje podglądu, konsole operatora) podłączone są do wydzielonej sieci Ethernet.</w:t>
      </w:r>
    </w:p>
    <w:p w:rsidR="00A71FA8" w:rsidRDefault="00A71FA8" w:rsidP="00A71FA8">
      <w:pPr>
        <w:pStyle w:val="NormalnyWeb"/>
        <w:spacing w:after="198"/>
      </w:pPr>
      <w:r>
        <w:t>- planowana infrastruktura umożliwi późniejszą łatwą rozbudowę systemu.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7"/>
        </w:numPr>
        <w:spacing w:after="198"/>
      </w:pPr>
      <w:r>
        <w:t>Kamery - wymagane cechy techniczne, jakościowe i funkcjonalne:</w:t>
      </w:r>
    </w:p>
    <w:p w:rsidR="00A71FA8" w:rsidRDefault="00A71FA8" w:rsidP="00A71FA8">
      <w:pPr>
        <w:pStyle w:val="NormalnyWeb"/>
        <w:numPr>
          <w:ilvl w:val="1"/>
          <w:numId w:val="7"/>
        </w:numPr>
        <w:spacing w:after="198"/>
      </w:pPr>
      <w:r>
        <w:t>Typ A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zakres temperatur pracy: nie węższy niż -30ºC do 50ºC,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do 60 kl./s w rozdzielczości HDTV 1080p,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 xml:space="preserve">wbudowane diody LED podczerwieni z funkcją automatycznego dostosowania kąta świecenia </w:t>
      </w:r>
      <w:proofErr w:type="spellStart"/>
      <w:r>
        <w:t>podświetlacza</w:t>
      </w:r>
      <w:proofErr w:type="spellEnd"/>
      <w:r>
        <w:t xml:space="preserve"> do kąta patrzenia obiektywu oraz automatycznym dobrze mocy świecenia </w:t>
      </w:r>
      <w:proofErr w:type="spellStart"/>
      <w:r>
        <w:t>podświetlacza</w:t>
      </w:r>
      <w:proofErr w:type="spellEnd"/>
      <w:r>
        <w:t xml:space="preserve"> w zależności stopnia odbicia światła w celu uniknięcia efektu prześwietlenia sceny, o zasięgu 20 metrów,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wbudowany obiektyw o regulacji pola widzenia w poziomie w zakresie przynajmniej od 40 do 90 stopni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czułość winna wynosić w trybie kolorowym przynajmniej 0,2lx przy F1.4 i 25 klatkach na sekundę, a trybie czarno-białym przynajmniej 0,03lx przy F1.4 i 25 klatkach na sekundę,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 xml:space="preserve">IP66, IP67 </w:t>
      </w:r>
      <w:r w:rsidR="00B2362E">
        <w:t>lub</w:t>
      </w:r>
      <w:r>
        <w:t xml:space="preserve"> NEMA 4X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zasilanie POE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tryb pracy dzień/noc i obsługa wejść/wyjść,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zaawansowane przetwarzanie strumieni wideo - Dual Streaming,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możliwość ustawienia formatu obrazu przystosowanego do monitorowania korytarzy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 xml:space="preserve">obsługa kart </w:t>
      </w:r>
      <w:proofErr w:type="spellStart"/>
      <w:r>
        <w:t>microSDHC</w:t>
      </w:r>
      <w:proofErr w:type="spellEnd"/>
      <w:r>
        <w:t>.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urządzenie powinno być oparte o standardowe komponenty i sprawdzone technologie z użyciem otwartych i opisanych protokołów i uwzględniać ustanowione standardy branżowe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zdolność kompresji obrazów w standardzie H.264 (MPEG4-Part 10) oraz Motion JPEG,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implementacja formatu kompresji H.264, która obsługuje adaptacyjną kontrolę przepływności bitowej sceny za pomocą automatycznego, dynamicznego obszaru zainteresowania w celu redukcji liczby danych z obszarów nieoznaczonych priorytetem, zmniejszając wielkość strumienia i tym samym wymogi przechowywania obrazów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 xml:space="preserve">obsługę algorytmów analizy obrazu opartych o algorytm detekcji w obserwowanym obszarze. W następstwie wywołania zdarzenia alarmowego kamera przekaże sygnał </w:t>
      </w:r>
      <w:r>
        <w:lastRenderedPageBreak/>
        <w:t>alarmowy do systemu VMS po protokole ONVIF lub za pomocą protokołu natywnego,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posiadanie wbudowanej funkcjonalności licznika pikseli w obrazie w celu określenia wielkości obiektu w scenie do liczby pikseli w obrazie,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kamera musi posiadać możliwość założenia drugiego konta administratora, które będzie pełniło rolę awaryjnego dostępu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kamera w celach instalacyjnych musi obsługiwać podstawową konfigurację obrazu z poziomu interfejsu zgodnego z HTML5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obsługiwanie w pełni otwartego i opublikowanego interfejsu API (Application Programmers Interface), zapewniającego informacje niezbędne do integracji funkcjonalności aplikacji różnych producentów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port komunikacyjny http musi mieć możliwość zmiany z domyślnego (80) na wyższy z zakresu 60000-65535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uwierzytelnianie za pośrednictwem protokołów HTTPS, SSL/TLS oraz IEEE802.1X w celu zapewnienia bezpiecznego dostępu do niej i dostarczanych przez nią materiałów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centralne zarządzanie certyfikatami w przypadku zarówno certyfikatów CA zainstalowanych fabrycznie, jak i przesyłanych dodatkowo certyfikatów CA. Certyfikaty są opatrzone podpisem organizacji świadczącej usługi cyfrowego powiernictwa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spełnienie wymagań dyrektywy normy europejskiej 2011/65/EU (</w:t>
      </w:r>
      <w:proofErr w:type="spellStart"/>
      <w:r>
        <w:t>RoHS</w:t>
      </w:r>
      <w:proofErr w:type="spellEnd"/>
      <w:r>
        <w:t>) i 2012/19/EU dyrektywy w sprawie zużytego sprzętu elektrotechnicznego i elektronicznego (WEEE)</w:t>
      </w:r>
    </w:p>
    <w:p w:rsidR="00A71FA8" w:rsidRDefault="00A71FA8" w:rsidP="00A71FA8">
      <w:pPr>
        <w:pStyle w:val="NormalnyWeb"/>
        <w:numPr>
          <w:ilvl w:val="0"/>
          <w:numId w:val="8"/>
        </w:numPr>
        <w:spacing w:after="198"/>
      </w:pPr>
      <w:r>
        <w:t>urządzenie powinno mieć minimum 3 letnią gwarancję z możliwością rozszerzenia do 5 lat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1"/>
          <w:numId w:val="9"/>
        </w:numPr>
        <w:spacing w:after="198"/>
      </w:pPr>
      <w:r>
        <w:t>Typ B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zakres temperatur pracy: nie węższy niż -30ºC do 50ºC,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gotowa do montażu na zewnątrz,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rozdzielczość HDTV 1080p,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wbudowane diody LED podczerwieni,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czułość winna wynosić w trybie kolorowym przynajmniej 0,2lx przy F2.0, a trybie czarno-białym przynajmniej 0,04lx przy F2.0,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zasilanie POE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możliwość ustawienia formatu obrazu przystosowanego do monitorowania korytarzy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 xml:space="preserve">obsługa kart </w:t>
      </w:r>
      <w:proofErr w:type="spellStart"/>
      <w:r>
        <w:t>microSDHC</w:t>
      </w:r>
      <w:proofErr w:type="spellEnd"/>
      <w:r>
        <w:t>.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lastRenderedPageBreak/>
        <w:t>urządzenie powinno być oparte o standardowe komponenty i sprawdzone technologie z użyciem otwartych i opisanych protokołów i uwzględniać ustanowione standardy branżowe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zdolność kompresji obrazów w standardzie H.264 (MPEG4-Part 10) oraz Motion JPEG,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na 40 sekund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implementacja formatu kompresji H.264, która obsługuje adaptacyjną kontrolę przepływności bitowej sceny za pomocą automatycznego, dynamicznego obszaru zainteresowania w celu redukcji liczby danych z obszarów nieoznaczonych priorytetem, zmniejszając wielkość strumienia i tym samym wymogi przechowywania obrazów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obsługę algorytmów analizy obrazu opartych o algorytm detekcji w obserwowanym obszarze. W następstwie wywołania zdarzenia alarmowego kamera przekaże sygnał alarmowy do systemu VMS po protokole ONVIF lub za pomocą protokołu natywnego,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posiadanie wbudowanej funkcjonalności licznika pikseli w obrazie w celu określenia wielkości obiektu w scenie do liczby pikseli w obrazie,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kamera musi posiadać możliwość założenia drugiego konta administratora, które będzie pełniło rolę awaryjnego dostępu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kamera w celach instalacyjnych musi obsługiwać podstawową konfigurację obrazu z poziomu interfejsu zgodnego z HTML5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obsługiwanie w pełni otwartego i opublikowanego interfejsu API (Application Programmers Interface), zapewniającego informacje niezbędne do integracji funkcjonalności aplikacji różnych producentów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port komunikacyjny http musi mieć możliwość zmiany z domyślnego (80) na wyższy z zakresu 60000-65535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uwierzytelnianie za pośrednictwem protokołów HTTPS, SSL/TLS oraz IEEE802.1X w celu zapewnienia bezpiecznego dostępu do niej i dostarczanych przez nią materiałów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centralne zarządzanie certyfikatami w przypadku zarówno certyfikatów CA zainstalowanych fabrycznie, jak i przesyłanych dodatkowo certyfikatów CA. Certyfikaty są opatrzone podpisem organizacji świadczącej usługi cyfrowego powiernictwa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spełnienie wymagań dyrektywy normy europejskiej 2011/65/EU (</w:t>
      </w:r>
      <w:proofErr w:type="spellStart"/>
      <w:r>
        <w:t>RoHS</w:t>
      </w:r>
      <w:proofErr w:type="spellEnd"/>
      <w:r>
        <w:t>) i 2012/19/EU dyrektywy w sprawie zużytego sprzętu elektrotechnicznego i elektronicznego (WEEE)</w:t>
      </w:r>
    </w:p>
    <w:p w:rsidR="00A71FA8" w:rsidRDefault="00A71FA8" w:rsidP="00A71FA8">
      <w:pPr>
        <w:pStyle w:val="NormalnyWeb"/>
        <w:numPr>
          <w:ilvl w:val="0"/>
          <w:numId w:val="10"/>
        </w:numPr>
        <w:spacing w:after="198"/>
      </w:pPr>
      <w:r>
        <w:t>urządzenie powinno mieć minimum 3 letnią gwarancję z możliwością rozszerzenia do 5 lat</w:t>
      </w:r>
    </w:p>
    <w:p w:rsidR="00B62357" w:rsidRDefault="009F2FA4" w:rsidP="00A71FA8">
      <w:pPr>
        <w:pStyle w:val="NormalnyWeb"/>
        <w:numPr>
          <w:ilvl w:val="0"/>
          <w:numId w:val="10"/>
        </w:numPr>
        <w:spacing w:after="198"/>
      </w:pPr>
      <w:r>
        <w:t>kamery oznaczone w pliku „Zestawieniu punktów kamerowych” jako „zliczanie osób” mają dysponować funkcjonalnością zliczania osób.</w:t>
      </w:r>
    </w:p>
    <w:p w:rsidR="00A71FA8" w:rsidRDefault="00A71FA8" w:rsidP="00A71FA8">
      <w:pPr>
        <w:pStyle w:val="NormalnyWeb"/>
        <w:numPr>
          <w:ilvl w:val="1"/>
          <w:numId w:val="11"/>
        </w:numPr>
        <w:spacing w:after="198"/>
      </w:pPr>
      <w:r>
        <w:lastRenderedPageBreak/>
        <w:t>Typ C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Stałopozycyjna 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Rozdzielczość HDTV 1080p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Skanowanie progresywne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Obiektyw o ogniskowej regulowanej </w:t>
      </w:r>
      <w:r w:rsidR="00DC7BC0">
        <w:t xml:space="preserve">minimum </w:t>
      </w:r>
      <w:r>
        <w:t>w zakresie 3 – 10,5 mm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Czułość w trybie kolorowym 0,25 Lux, w trybie monochromatycznym 0,05 Lux (dla F1.4)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Zdejmowalny filtr podczerwieni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Funkcja WDR </w:t>
      </w:r>
      <w:r w:rsidR="00B62357">
        <w:t>≥</w:t>
      </w:r>
      <w:r>
        <w:t xml:space="preserve"> 120 </w:t>
      </w:r>
      <w:proofErr w:type="spellStart"/>
      <w:r>
        <w:t>dB</w:t>
      </w:r>
      <w:proofErr w:type="spellEnd"/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Kompresja MJPEG i H264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Wydajność 25 </w:t>
      </w:r>
      <w:proofErr w:type="spellStart"/>
      <w:r>
        <w:t>kl</w:t>
      </w:r>
      <w:proofErr w:type="spellEnd"/>
      <w:r>
        <w:t>/</w:t>
      </w:r>
      <w:proofErr w:type="spellStart"/>
      <w:r>
        <w:t>sek</w:t>
      </w:r>
      <w:proofErr w:type="spellEnd"/>
      <w:r>
        <w:t xml:space="preserve"> przy pełnej rozdzielczości 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Dual Streaming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Temperatur pracy -20 do +50 stopni Celsjusza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Obudowa spełniająca standardy IP 66</w:t>
      </w:r>
      <w:r w:rsidR="00DC7BC0">
        <w:t xml:space="preserve"> lub NEMA 4x  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Możliwość zasilania standardowego oraz </w:t>
      </w:r>
      <w:proofErr w:type="spellStart"/>
      <w:r>
        <w:t>PoE</w:t>
      </w:r>
      <w:proofErr w:type="spellEnd"/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urządzenie powinno być oparte o standardowe komponenty i sprawdzone technologie z użyciem otwartych i opisanych protokołów i uwzględniać ustanowione standardy branżowe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obsługa kart </w:t>
      </w:r>
      <w:proofErr w:type="spellStart"/>
      <w:r>
        <w:t>microSDHC</w:t>
      </w:r>
      <w:proofErr w:type="spellEnd"/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uwierzytelnianie za pośrednictwem protokołów HTTPS, SSL/TLS oraz IEEE802.1X w celu zapewnienia bezpiecznego dostępu do niej i dostarczanych przez nią materiałów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port komunikacyjny http musi mieć możliwość zmiany z domyślnego (80) na wyższy z zakresu 60000-65535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kamera w celach instalacyjnych musi obsługiwać podstawową konfigurację obrazu z poziomu interfejsu zgodnego z HTML5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 xml:space="preserve">obsługą dynamicznej adaptacji wielkości rozdzielczości strumienia wizyjnego transmitowanego w trybie „na żywo” dostosowanego do wielkości okna podglądu lub </w:t>
      </w:r>
      <w:proofErr w:type="spellStart"/>
      <w:r>
        <w:t>wielopodziału</w:t>
      </w:r>
      <w:proofErr w:type="spellEnd"/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kamera musi posiadać możliwość założenia drugiego konta administratora, które będzie pełniło rolę awaryjnego dostępu</w:t>
      </w:r>
    </w:p>
    <w:p w:rsidR="00A71FA8" w:rsidRDefault="00A71FA8" w:rsidP="00A71FA8">
      <w:pPr>
        <w:pStyle w:val="NormalnyWeb"/>
        <w:numPr>
          <w:ilvl w:val="0"/>
          <w:numId w:val="12"/>
        </w:numPr>
        <w:spacing w:after="198"/>
      </w:pPr>
      <w:r>
        <w:t>urządzenie powinno mieć minimum 3 letnią gwarancję z możliwością rozszerzenia do 5 lat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1"/>
          <w:numId w:val="13"/>
        </w:numPr>
        <w:spacing w:after="198"/>
      </w:pPr>
      <w:r>
        <w:lastRenderedPageBreak/>
        <w:t>Typ D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solidna i odporna na uderzenia obudowa,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zakres temperatur pracy: nie węższy niż: -</w:t>
      </w:r>
      <w:r w:rsidR="00DC7BC0">
        <w:t>3</w:t>
      </w:r>
      <w:r>
        <w:t>0°C do 50°C,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 xml:space="preserve">Czułość 0,11 </w:t>
      </w:r>
      <w:proofErr w:type="spellStart"/>
      <w:r>
        <w:t>lux</w:t>
      </w:r>
      <w:proofErr w:type="spellEnd"/>
      <w:r>
        <w:t xml:space="preserve"> w trybie kolorowym; 0,01 </w:t>
      </w:r>
      <w:proofErr w:type="spellStart"/>
      <w:r>
        <w:t>lux</w:t>
      </w:r>
      <w:proofErr w:type="spellEnd"/>
      <w:r>
        <w:t xml:space="preserve"> w trybie c/b przy przysłonie 50 IRE F1.3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do 60 kl./s w rozdzielczości HDTV 1080p,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wbudowany obiektyw o polu widzenia: poziom 84-39 stopnie, pion 46-21 stopni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 xml:space="preserve">IP66, IP67 </w:t>
      </w:r>
      <w:r w:rsidR="00DC7BC0">
        <w:t>lub</w:t>
      </w:r>
      <w:r>
        <w:t xml:space="preserve"> NEMA 4X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zasilanie POE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 xml:space="preserve">obsługa kart </w:t>
      </w:r>
      <w:proofErr w:type="spellStart"/>
      <w:r>
        <w:t>microSDHC</w:t>
      </w:r>
      <w:proofErr w:type="spellEnd"/>
      <w:r>
        <w:t>.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urządzenie powinno być oparte o standardowe komponenty i sprawdzone technologie z użyciem otwartych i opisanych protokołów i uwzględniać ustanowione standardy branżowe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zdolność kompresji obrazów w standardzie H.264 (MPEG4-Part 10) oraz Motion JPEG,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na 40 sekund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implementacja formatu kompresji H.264, która obsługuje adaptacyjną kontrolę przepływności bitowej sceny za pomocą automatycznego, dynamicznego obszaru zainteresowania w celu redukcji liczby danych z obszarów nieoznaczonych priorytetem, zmniejszając wielkość strumienia i tym samym wymogi przechowywania obrazów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obsługę algorytmów analizy obrazu opartych o algorytm detekcji w obserwowanym obszarze. W następstwie wywołania zdarzenia alarmowego kamera przekaże sygnał alarmowy do systemu VMS po protokole ONVIF lub za pomocą protokołu natywnego,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posiadanie wbudowanej funkcjonalności licznika pikseli w obrazie w celu określenia wielkości obiektu w scenie do liczby pikseli w obrazie,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kamera musi posiadać możliwość założenia drugiego konta administratora, które będzie pełniło rolę awaryjnego dostępu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proofErr w:type="spellStart"/>
      <w:r>
        <w:t>opkamera</w:t>
      </w:r>
      <w:proofErr w:type="spellEnd"/>
      <w:r>
        <w:t xml:space="preserve"> w celach instalacyjnych musi obsługiwać podstawową konfigurację obrazu z poziomu interfejsu zgodnego z HTML5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obsługiwanie w pełni otwartego i opublikowanego interfejsu API (Application Programmers Interface), zapewniającego informacje niezbędne do integracji funkcjonalności aplikacji różnych producentów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port komunikacyjny http musi mieć możliwość zmiany z domyślnego (80) na wyższy z zakresu 60000-65535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lastRenderedPageBreak/>
        <w:t>uwierzytelnianie za pośrednictwem protokołów HTTPS, SSL/TLS oraz IEEE802.1X w celu zapewnienia bezpiecznego dostępu do niej i dostarczanych przez nią materiałów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centralne zarządzanie certyfikatami w przypadku zarówno certyfikatów CA zainstalowanych fabrycznie, jak i przesyłanych dodatkowo certyfikatów CA. Certyfikaty są opatrzone podpisem organizacji świadczącej usługi cyfrowego powiernictwa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spełnienie wymagań dyrektywy normy europejskiej 2011/65/EU (</w:t>
      </w:r>
      <w:proofErr w:type="spellStart"/>
      <w:r>
        <w:t>RoHS</w:t>
      </w:r>
      <w:proofErr w:type="spellEnd"/>
      <w:r>
        <w:t>) i 2012/19/EU dyrektywy w sprawie zużytego sprzętu elektrotechnicznego i elektronicznego (WEEE)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urządzenia powinny być wyprodukowane zgodnie ze światowymi standardami ochrony środowiska zdefiniowanymi w ISO 14001</w:t>
      </w:r>
    </w:p>
    <w:p w:rsidR="00A71FA8" w:rsidRDefault="00A71FA8" w:rsidP="00A71FA8">
      <w:pPr>
        <w:pStyle w:val="NormalnyWeb"/>
        <w:numPr>
          <w:ilvl w:val="0"/>
          <w:numId w:val="14"/>
        </w:numPr>
        <w:spacing w:after="198"/>
      </w:pPr>
      <w:r>
        <w:t>urządzenie powinno mieć minimum 3 letnią gwarancję z możliwością rozszerzenia do 5 lat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15"/>
        </w:numPr>
        <w:spacing w:after="198"/>
      </w:pPr>
      <w:r>
        <w:t>Głośnik IP - wymagane cechy techniczne, jakościowe i funkcjonalne: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 xml:space="preserve">zapewnienie czytelnych komunikaty na dużą odległość 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wymagany poziom głośności minimum 120dB,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 xml:space="preserve">podłączenie jednym przewodem sieciowym, zasilanie przez </w:t>
      </w:r>
      <w:proofErr w:type="spellStart"/>
      <w:r>
        <w:t>PoE</w:t>
      </w:r>
      <w:proofErr w:type="spellEnd"/>
      <w:r>
        <w:t>,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wbudowany wzmacniacz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 xml:space="preserve">IP66, IP67 </w:t>
      </w:r>
      <w:r w:rsidR="00DC7BC0">
        <w:t>lub</w:t>
      </w:r>
      <w:r>
        <w:t xml:space="preserve"> NEMA 4X,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temperatura pracy od -20 do +50 stopni Celsjusza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łatwa integracja z wiodącymi aplikacjami do zarządzania materiałem wideo,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obsługa protokołu SIP (VoIP),</w:t>
      </w:r>
    </w:p>
    <w:p w:rsidR="00A71FA8" w:rsidRDefault="00A71FA8" w:rsidP="00A71FA8">
      <w:pPr>
        <w:pStyle w:val="NormalnyWeb"/>
        <w:numPr>
          <w:ilvl w:val="0"/>
          <w:numId w:val="16"/>
        </w:numPr>
        <w:spacing w:after="198"/>
      </w:pPr>
      <w:r>
        <w:t>gwarancja producenta 3 lata z możliwością przedłużenia do 5 lat.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17"/>
        </w:numPr>
        <w:spacing w:after="198"/>
      </w:pPr>
      <w:r>
        <w:t>System rejestracji.</w:t>
      </w:r>
    </w:p>
    <w:p w:rsidR="00A71FA8" w:rsidRDefault="00A71FA8" w:rsidP="00A71FA8">
      <w:pPr>
        <w:pStyle w:val="NormalnyWeb"/>
        <w:spacing w:after="198"/>
      </w:pPr>
      <w:r>
        <w:t xml:space="preserve">Zadanie polega na rozbudowie eksploatowanego przez Zamawiającego systemu monitoringu opartego na rejestratorze </w:t>
      </w:r>
      <w:proofErr w:type="spellStart"/>
      <w:r>
        <w:t>Geutebrück</w:t>
      </w:r>
      <w:proofErr w:type="spellEnd"/>
      <w:r>
        <w:t xml:space="preserve"> </w:t>
      </w:r>
      <w:proofErr w:type="spellStart"/>
      <w:r>
        <w:t>G-Scope</w:t>
      </w:r>
      <w:proofErr w:type="spellEnd"/>
      <w:r>
        <w:t xml:space="preserve"> 3000+ o nowy rejestrator </w:t>
      </w:r>
      <w:proofErr w:type="spellStart"/>
      <w:r>
        <w:t>Geutebrück</w:t>
      </w:r>
      <w:proofErr w:type="spellEnd"/>
      <w:r>
        <w:t xml:space="preserve"> </w:t>
      </w:r>
      <w:proofErr w:type="spellStart"/>
      <w:r>
        <w:t>G-Scope</w:t>
      </w:r>
      <w:proofErr w:type="spellEnd"/>
      <w:r>
        <w:t xml:space="preserve"> 8000+ </w:t>
      </w:r>
      <w:r w:rsidR="00DC7BC0">
        <w:t xml:space="preserve">lub równoważny </w:t>
      </w:r>
      <w:r>
        <w:t xml:space="preserve">wraz z dyskami, licencjami dla 128 kamer, licencjami na 6 stacji podglądowych. Rejestrator ten winien być wyposażony w opcję 16 x 3.5" RAID HDD (SATA3) for </w:t>
      </w:r>
      <w:proofErr w:type="spellStart"/>
      <w:r>
        <w:t>the</w:t>
      </w:r>
      <w:proofErr w:type="spellEnd"/>
      <w:r>
        <w:t xml:space="preserve"> </w:t>
      </w:r>
      <w:proofErr w:type="spellStart"/>
      <w:r>
        <w:t>image</w:t>
      </w:r>
      <w:proofErr w:type="spellEnd"/>
      <w:r>
        <w:t xml:space="preserve"> </w:t>
      </w:r>
      <w:proofErr w:type="spellStart"/>
      <w:r>
        <w:t>database</w:t>
      </w:r>
      <w:proofErr w:type="spellEnd"/>
      <w:r>
        <w:t xml:space="preserve"> </w:t>
      </w:r>
      <w:proofErr w:type="spellStart"/>
      <w:r>
        <w:t>within</w:t>
      </w:r>
      <w:proofErr w:type="spellEnd"/>
      <w:r>
        <w:t xml:space="preserve"> </w:t>
      </w:r>
      <w:proofErr w:type="spellStart"/>
      <w:r>
        <w:t>removable</w:t>
      </w:r>
      <w:proofErr w:type="spellEnd"/>
      <w:r>
        <w:t xml:space="preserve"> </w:t>
      </w:r>
      <w:proofErr w:type="spellStart"/>
      <w:r>
        <w:t>carriers</w:t>
      </w:r>
      <w:proofErr w:type="spellEnd"/>
      <w:r>
        <w:t xml:space="preserve"> oraz 16 dysków twardych SATA3, przystosowanych do pracy ciągłej w systemach monitoringu wizyjnego, o pojemności min. </w:t>
      </w:r>
      <w:r>
        <w:lastRenderedPageBreak/>
        <w:t xml:space="preserve">10TB każdy. Zamawiający wymaga również dostawy 3 dodatkowych licencji na stacje podglądowe do eksploatowanego już rejestratora </w:t>
      </w:r>
      <w:proofErr w:type="spellStart"/>
      <w:r>
        <w:t>G-Scope</w:t>
      </w:r>
      <w:proofErr w:type="spellEnd"/>
      <w:r>
        <w:t xml:space="preserve"> 3000+.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18"/>
        </w:numPr>
        <w:spacing w:after="198"/>
      </w:pPr>
      <w:bookmarkStart w:id="1" w:name="OLE_LINK3"/>
      <w:bookmarkStart w:id="2" w:name="OLE_LINK2"/>
      <w:bookmarkStart w:id="3" w:name="OLE_LINK1"/>
      <w:bookmarkEnd w:id="1"/>
      <w:bookmarkEnd w:id="2"/>
      <w:bookmarkEnd w:id="3"/>
      <w:r>
        <w:t>Dodatkowy oświetlacz podczerwieni - wymagane cechy techniczne, jakościowe i funkcjonalne: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Zasilanie 12 - 32 VDC,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Pobór mocy maksymalnie 13 W,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Regulowana intensywność podczerwieni (10% to 100%),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Regulacja czułości fotokomórki (20 lx to 70 lx),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Temperatura pracy -</w:t>
      </w:r>
      <w:r w:rsidR="00E8700F">
        <w:t>3</w:t>
      </w:r>
      <w:r>
        <w:t>0 do +50°C,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Ochrona IP66,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Wymienne obiektywy rozpraszające - 10°, 20°, 30°, 60°, 80° i 95°,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Samoczyszcząca się powłoka soczewki,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 xml:space="preserve">Osiągalny zasięg minimum 25 m dla szerokości rozproszonej wiązki 95° przy zakresie 850 </w:t>
      </w:r>
      <w:proofErr w:type="spellStart"/>
      <w:r>
        <w:t>nm</w:t>
      </w:r>
      <w:proofErr w:type="spellEnd"/>
      <w:r>
        <w:t>,</w:t>
      </w:r>
    </w:p>
    <w:p w:rsidR="00A71FA8" w:rsidRDefault="00A71FA8" w:rsidP="00A71FA8">
      <w:pPr>
        <w:pStyle w:val="NormalnyWeb"/>
        <w:numPr>
          <w:ilvl w:val="0"/>
          <w:numId w:val="19"/>
        </w:numPr>
        <w:spacing w:after="198"/>
      </w:pPr>
      <w:r>
        <w:t>Wizjer przedni odporny na uszkodzenia, samoczyszczący się.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20"/>
        </w:numPr>
        <w:spacing w:after="198"/>
      </w:pPr>
      <w:r>
        <w:t>Szafa RACK - wymagane cechy techniczne, jakościowe i funkcjonalne :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Wysokość od 24U do 36U,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Wymiary 800x1000mm,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Nośność minimum 1350kg,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Drzwi przednie i tylne blaszane z perforacją, wyposażone w zamek trzypunktowy z uchwytem wychylnym,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Osłony boczne z blachy pełnej zamykane na minimum dwa zamki,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Dwie pary belek nośnych w rozstawie 19",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4 stopki regulacyjne,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Kolor RAL 9005,</w:t>
      </w:r>
    </w:p>
    <w:p w:rsidR="00A71FA8" w:rsidRDefault="00A71FA8" w:rsidP="00A71FA8">
      <w:pPr>
        <w:pStyle w:val="NormalnyWeb"/>
        <w:numPr>
          <w:ilvl w:val="0"/>
          <w:numId w:val="21"/>
        </w:numPr>
        <w:spacing w:after="198"/>
      </w:pPr>
      <w:r>
        <w:t>Dostawa w częściach i montaż w pomieszczeniu docelowym.</w:t>
      </w:r>
    </w:p>
    <w:p w:rsidR="00A71FA8" w:rsidRDefault="00A71FA8" w:rsidP="00A71FA8">
      <w:pPr>
        <w:pStyle w:val="NormalnyWeb"/>
        <w:spacing w:after="240"/>
      </w:pPr>
    </w:p>
    <w:p w:rsidR="00A71FA8" w:rsidRDefault="00A71FA8" w:rsidP="00A71FA8">
      <w:pPr>
        <w:pStyle w:val="NormalnyWeb"/>
        <w:numPr>
          <w:ilvl w:val="0"/>
          <w:numId w:val="22"/>
        </w:numPr>
        <w:spacing w:after="198"/>
      </w:pPr>
      <w:bookmarkStart w:id="4" w:name="OLE_LINK6"/>
      <w:bookmarkStart w:id="5" w:name="OLE_LINK5"/>
      <w:bookmarkStart w:id="6" w:name="OLE_LINK4"/>
      <w:bookmarkEnd w:id="4"/>
      <w:bookmarkEnd w:id="5"/>
      <w:bookmarkEnd w:id="6"/>
      <w:r>
        <w:t>Zasilacz awaryjny - UPS - wymagane cechy techniczne, jakościowe i funkcjonalne: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lastRenderedPageBreak/>
        <w:t>Moc pozorna minimum 3000 VA,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Nominalne napięcie wejściowe: 220-240V 50Hz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 xml:space="preserve">Architektura </w:t>
      </w:r>
      <w:proofErr w:type="spellStart"/>
      <w:r>
        <w:t>line-interactive</w:t>
      </w:r>
      <w:proofErr w:type="spellEnd"/>
      <w:r>
        <w:t>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Liczba faz na wejściu - 1,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Maksymalny czas przełączenia - 1.5 ms,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AVR,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Obudowa RACK,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 xml:space="preserve">Obsługa zewnętrznych modułów akumulatorów wymienialnych podczas pracy bez konieczności wyłączania </w:t>
      </w:r>
      <w:proofErr w:type="spellStart"/>
      <w:r>
        <w:t>UPSa</w:t>
      </w:r>
      <w:proofErr w:type="spellEnd"/>
      <w:r>
        <w:t>,</w:t>
      </w:r>
    </w:p>
    <w:p w:rsidR="00A71FA8" w:rsidRDefault="00A71FA8" w:rsidP="00A71FA8">
      <w:pPr>
        <w:pStyle w:val="NormalnyWeb"/>
        <w:numPr>
          <w:ilvl w:val="0"/>
          <w:numId w:val="23"/>
        </w:numPr>
        <w:spacing w:after="198"/>
      </w:pPr>
      <w:r>
        <w:t>Pojemność akumulatorów min. 28Ah przy 48V</w:t>
      </w:r>
    </w:p>
    <w:p w:rsidR="00A71FA8" w:rsidRDefault="00A71FA8" w:rsidP="00A71FA8">
      <w:pPr>
        <w:pStyle w:val="NormalnyWeb"/>
        <w:spacing w:after="240"/>
      </w:pPr>
    </w:p>
    <w:p w:rsidR="000C3B8D" w:rsidRDefault="000C3B8D" w:rsidP="000C3B8D">
      <w:pPr>
        <w:pStyle w:val="NormalnyWeb"/>
        <w:spacing w:after="240"/>
      </w:pPr>
    </w:p>
    <w:p w:rsidR="000C3B8D" w:rsidRDefault="000C3B8D" w:rsidP="000C3B8D">
      <w:pPr>
        <w:pStyle w:val="NormalnyWeb"/>
        <w:numPr>
          <w:ilvl w:val="0"/>
          <w:numId w:val="60"/>
        </w:numPr>
        <w:spacing w:after="198"/>
      </w:pPr>
      <w:r>
        <w:t>Stacje podglądu - zamawiający wymaga dedykowanych 5 stacji podglądowych oraz podgląd z dowolnego komputera:</w:t>
      </w:r>
      <w:r>
        <w:br/>
        <w:t>1. Portiernia Browarna - stacja podglądu z 2 monitorami z możliwością podłączenia 4 monitorów bez ingerencji w budowę samej stacji,</w:t>
      </w:r>
    </w:p>
    <w:p w:rsidR="000C3B8D" w:rsidRDefault="000C3B8D" w:rsidP="000C3B8D">
      <w:pPr>
        <w:pStyle w:val="NormalnyWeb"/>
        <w:spacing w:after="198"/>
        <w:ind w:left="720"/>
      </w:pPr>
      <w:r>
        <w:t>2. Portiernia Krańcowa - stacja podglądu z 2 monitorami z możliwością podłączenia 4 monitorów bez ingerencji w budowę samej stacji,</w:t>
      </w:r>
    </w:p>
    <w:p w:rsidR="000C3B8D" w:rsidRDefault="000C3B8D" w:rsidP="000C3B8D">
      <w:pPr>
        <w:pStyle w:val="NormalnyWeb"/>
        <w:spacing w:after="198"/>
        <w:ind w:left="720"/>
      </w:pPr>
      <w:r>
        <w:t xml:space="preserve">3. Pomieszczenie socjalne w </w:t>
      </w:r>
      <w:proofErr w:type="spellStart"/>
      <w:r>
        <w:t>słoniarni</w:t>
      </w:r>
      <w:proofErr w:type="spellEnd"/>
      <w:r>
        <w:t xml:space="preserve"> - stacja podglądu z 2 monitorami z możliwością podłączenia 4 monitorów bez ingerencji w budowę samej stacji,</w:t>
      </w:r>
    </w:p>
    <w:p w:rsidR="000C3B8D" w:rsidRDefault="000C3B8D" w:rsidP="000C3B8D">
      <w:pPr>
        <w:pStyle w:val="NormalnyWeb"/>
        <w:spacing w:after="198"/>
        <w:ind w:left="720"/>
      </w:pPr>
      <w:r>
        <w:t xml:space="preserve">4. Korytarz techniczny w </w:t>
      </w:r>
      <w:proofErr w:type="spellStart"/>
      <w:r>
        <w:t>słoniarni</w:t>
      </w:r>
      <w:proofErr w:type="spellEnd"/>
      <w:r>
        <w:t xml:space="preserve"> - stacja robocza z 1 monitorem, obudowa RACK, montaż w pyłoszczelnej naściennej szafie RACK o wysokości min. 12U i głębokości min. 600mm</w:t>
      </w:r>
    </w:p>
    <w:p w:rsidR="000C3B8D" w:rsidRDefault="000C3B8D" w:rsidP="000C3B8D">
      <w:pPr>
        <w:pStyle w:val="NormalnyWeb"/>
        <w:spacing w:after="198"/>
        <w:ind w:left="720"/>
      </w:pPr>
      <w:r>
        <w:t>5. Budynek portierni Starego Zoo - stacja robocza z 1 monitorem</w:t>
      </w:r>
    </w:p>
    <w:p w:rsidR="000C3B8D" w:rsidRDefault="000C3B8D" w:rsidP="000C3B8D">
      <w:pPr>
        <w:pStyle w:val="NormalnyWeb"/>
        <w:spacing w:after="198"/>
      </w:pPr>
      <w:r>
        <w:t>Wymagane cechy techniczne, jakościowe i funkcjonalne dla stacji podglądowych:</w:t>
      </w:r>
    </w:p>
    <w:p w:rsidR="000C3B8D" w:rsidRDefault="000C3B8D" w:rsidP="000C3B8D">
      <w:pPr>
        <w:pStyle w:val="NormalnyWeb"/>
        <w:spacing w:after="198"/>
      </w:pPr>
      <w:r>
        <w:t xml:space="preserve">Stacja operatorska musi umożliwiać podgląd obrazów z kamer „na żywo” jak również wyszukiwanie i odtwarzanie nagranych sekwencji wideo. Musi również pełnić funkcje stacji służącej do zdalnej konfiguracji serwerów lub oprogramowania. Musi posiadać możliwość zainstalowania oprogramowania, zależnie od wymagań systemu. Zależnie od wersji musi posiadać 1 lub 4 wyjścia do podłączenia monitorów. Na każdym monitorze będzie można wyświetlać zdefiniowane przez użytkownika podziały ekranu. Częstotliwość wyświetlania obrazów w każdym oknie podglądu musi wynosić do 25 </w:t>
      </w:r>
      <w:proofErr w:type="spellStart"/>
      <w:r>
        <w:t>kl</w:t>
      </w:r>
      <w:proofErr w:type="spellEnd"/>
      <w:r>
        <w:t xml:space="preserve">/s (zależnie od konfiguracji serwera). Muszą być dostępne wersje w obudowie </w:t>
      </w:r>
      <w:proofErr w:type="spellStart"/>
      <w:r>
        <w:t>midi-tower</w:t>
      </w:r>
      <w:proofErr w:type="spellEnd"/>
      <w:r>
        <w:t xml:space="preserve"> lub </w:t>
      </w:r>
      <w:proofErr w:type="spellStart"/>
      <w:r>
        <w:t>rack</w:t>
      </w:r>
      <w:proofErr w:type="spellEnd"/>
      <w:r>
        <w:t xml:space="preserve"> 19”. W komplecie musi być dostarczana klawiatura i mysz USB.</w:t>
      </w:r>
    </w:p>
    <w:p w:rsidR="000C3B8D" w:rsidRDefault="000C3B8D" w:rsidP="000C3B8D">
      <w:pPr>
        <w:pStyle w:val="NormalnyWeb"/>
        <w:spacing w:after="198"/>
      </w:pPr>
      <w:r>
        <w:lastRenderedPageBreak/>
        <w:t>Stacja 1 (1 monitorowa) - parametry minimalne: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pamięć RAM 2x4GB DDR4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 xml:space="preserve">procesor, który w teście </w:t>
      </w:r>
      <w:proofErr w:type="spellStart"/>
      <w:r>
        <w:t>PassMark</w:t>
      </w:r>
      <w:proofErr w:type="spellEnd"/>
      <w:r>
        <w:t xml:space="preserve"> (adres: https://www.cpubenchmark.net/high_end_cpus.html) w tablicy High </w:t>
      </w:r>
      <w:proofErr w:type="spellStart"/>
      <w:r>
        <w:t>End</w:t>
      </w:r>
      <w:proofErr w:type="spellEnd"/>
      <w:r>
        <w:t xml:space="preserve"> CPU osiąga wydajność minimum: 4.750; musi on prawidłowo współpracować z zaoferowanym systemem monitoringu wizyjnego 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 xml:space="preserve">interfejs grafiki DVI-D lub HDMI, lub </w:t>
      </w:r>
      <w:proofErr w:type="spellStart"/>
      <w:r>
        <w:t>DisplayPort</w:t>
      </w:r>
      <w:proofErr w:type="spellEnd"/>
      <w:r>
        <w:t xml:space="preserve"> 1.3 lub nowszy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minimalna rozdzielczość na wyjściu monitorowym 1920 x 1200 pikseli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 xml:space="preserve">obudowa </w:t>
      </w:r>
      <w:proofErr w:type="spellStart"/>
      <w:r>
        <w:t>midi-tower</w:t>
      </w:r>
      <w:proofErr w:type="spellEnd"/>
      <w:r>
        <w:t xml:space="preserve">, kolor czarny lub </w:t>
      </w:r>
      <w:proofErr w:type="spellStart"/>
      <w:r>
        <w:t>rack</w:t>
      </w:r>
      <w:proofErr w:type="spellEnd"/>
      <w:r>
        <w:t xml:space="preserve"> 19”, 4U, głębokość maks.: 450 mm; kolor: czarny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dysk twardy minimum 240GB SSD</w:t>
      </w:r>
    </w:p>
    <w:p w:rsidR="000C3B8D" w:rsidRPr="00747E8B" w:rsidRDefault="000C3B8D" w:rsidP="000C3B8D">
      <w:pPr>
        <w:pStyle w:val="NormalnyWeb"/>
        <w:numPr>
          <w:ilvl w:val="1"/>
          <w:numId w:val="25"/>
        </w:numPr>
        <w:spacing w:after="198"/>
      </w:pPr>
      <w:r w:rsidRPr="00D917BC">
        <w:t xml:space="preserve">system operacyjny Windows 10 Professional PL 64 bit lub równoważny 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proofErr w:type="spellStart"/>
      <w:r>
        <w:t>preinstalowane</w:t>
      </w:r>
      <w:proofErr w:type="spellEnd"/>
      <w:r>
        <w:t xml:space="preserve"> i skonfigurowane oprogramowanie klienta podglądu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zasilanie 230 VAC, 50 Hz</w:t>
      </w:r>
    </w:p>
    <w:p w:rsidR="000C3B8D" w:rsidRPr="00902114" w:rsidRDefault="000C3B8D" w:rsidP="000C3B8D">
      <w:pPr>
        <w:pStyle w:val="NormalnyWeb"/>
        <w:numPr>
          <w:ilvl w:val="1"/>
          <w:numId w:val="25"/>
        </w:numPr>
        <w:spacing w:after="198"/>
      </w:pPr>
      <w:r w:rsidRPr="00902114">
        <w:t>pobór mocy</w:t>
      </w:r>
      <w:r>
        <w:t>: maksymalnie</w:t>
      </w:r>
      <w:r w:rsidRPr="00902114">
        <w:t xml:space="preserve"> 180 W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minimalna moc zasilacza 400 W, c</w:t>
      </w:r>
      <w:r w:rsidRPr="00D327B0">
        <w:t>ertyfikat 80 Plus</w:t>
      </w:r>
      <w:r>
        <w:t xml:space="preserve"> lub równoważny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 xml:space="preserve">interfejs Ethernet 10/100/1000 </w:t>
      </w:r>
      <w:proofErr w:type="spellStart"/>
      <w:r>
        <w:t>Base-T</w:t>
      </w:r>
      <w:proofErr w:type="spellEnd"/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 xml:space="preserve">opcjonalnie możliwość zainstalowania 2 dodatkowych interfejsów Ethernet 1Gbit w złączu </w:t>
      </w:r>
      <w:proofErr w:type="spellStart"/>
      <w:r w:rsidRPr="003D0254">
        <w:t>PCI-E</w:t>
      </w:r>
      <w:proofErr w:type="spellEnd"/>
    </w:p>
    <w:p w:rsidR="000C3B8D" w:rsidRPr="002B2AFF" w:rsidRDefault="000C3B8D" w:rsidP="000C3B8D">
      <w:pPr>
        <w:pStyle w:val="NormalnyWeb"/>
        <w:numPr>
          <w:ilvl w:val="1"/>
          <w:numId w:val="25"/>
        </w:numPr>
        <w:spacing w:after="198"/>
      </w:pPr>
      <w:r w:rsidRPr="00D917BC">
        <w:t>interfejs USB min. 4 porty USB 2.0 lub nowsze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zakres temperatur pracy + 5°C do + 40°C</w:t>
      </w:r>
    </w:p>
    <w:p w:rsidR="000C3B8D" w:rsidRDefault="000C3B8D" w:rsidP="000C3B8D">
      <w:pPr>
        <w:pStyle w:val="NormalnyWeb"/>
        <w:numPr>
          <w:ilvl w:val="1"/>
          <w:numId w:val="25"/>
        </w:numPr>
        <w:spacing w:after="198"/>
      </w:pPr>
      <w:r>
        <w:t>gwarancja 36 miesięcy</w:t>
      </w:r>
    </w:p>
    <w:p w:rsidR="000C3B8D" w:rsidRDefault="000C3B8D" w:rsidP="000C3B8D">
      <w:pPr>
        <w:pStyle w:val="NormalnyWeb"/>
        <w:spacing w:after="240"/>
        <w:ind w:left="720"/>
      </w:pPr>
    </w:p>
    <w:p w:rsidR="000C3B8D" w:rsidRDefault="000C3B8D" w:rsidP="000C3B8D">
      <w:pPr>
        <w:pStyle w:val="NormalnyWeb"/>
        <w:spacing w:after="240"/>
        <w:ind w:left="720"/>
      </w:pPr>
    </w:p>
    <w:p w:rsidR="000C3B8D" w:rsidRDefault="000C3B8D" w:rsidP="000C3B8D">
      <w:pPr>
        <w:pStyle w:val="NormalnyWeb"/>
        <w:spacing w:after="198"/>
      </w:pPr>
      <w:r>
        <w:t>Stacja 2 (możliwość rozbudowy do 4 monitorów) – parametry minimalne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pamięć RAM 2x4GB DDR4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procesor, który w teście </w:t>
      </w:r>
      <w:proofErr w:type="spellStart"/>
      <w:r>
        <w:t>PassMark</w:t>
      </w:r>
      <w:proofErr w:type="spellEnd"/>
      <w:r>
        <w:t xml:space="preserve"> (adres: https://www.cpubenchmark.net/high_end_cpus.html) w tablicy High </w:t>
      </w:r>
      <w:proofErr w:type="spellStart"/>
      <w:r>
        <w:t>End</w:t>
      </w:r>
      <w:proofErr w:type="spellEnd"/>
      <w:r>
        <w:t xml:space="preserve"> CPU osiąga wydajność minimum: 13.000; musi on prawidłowo współpracować z zaoferowanym systemem monitoringu wizyjnego 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interfejs grafiki umożliwiający jednoczesne podłączenie 4 monitorów poprzez złącza cyfrowe  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lastRenderedPageBreak/>
        <w:t>minimalna rozdzielczość na wyjściu monitorowym 1920 x 1200 pikseli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obudowa </w:t>
      </w:r>
      <w:proofErr w:type="spellStart"/>
      <w:r w:rsidRPr="00DF3AA9">
        <w:t>midi-tower</w:t>
      </w:r>
      <w:proofErr w:type="spellEnd"/>
      <w:r w:rsidRPr="00DF3AA9">
        <w:t xml:space="preserve">, kolor czarny lub </w:t>
      </w:r>
      <w:proofErr w:type="spellStart"/>
      <w:r w:rsidRPr="00DF3AA9">
        <w:t>rack</w:t>
      </w:r>
      <w:proofErr w:type="spellEnd"/>
      <w:r w:rsidRPr="00DF3AA9">
        <w:t xml:space="preserve"> 19”, 4U, głębok</w:t>
      </w:r>
      <w:r>
        <w:t>ość maks.: 450 mm; kolor: czarny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dysk twardy minimum 240GB SSD</w:t>
      </w:r>
    </w:p>
    <w:p w:rsidR="000C3B8D" w:rsidRPr="00A154BF" w:rsidRDefault="000C3B8D" w:rsidP="000C3B8D">
      <w:pPr>
        <w:pStyle w:val="NormalnyWeb"/>
        <w:numPr>
          <w:ilvl w:val="1"/>
          <w:numId w:val="26"/>
        </w:numPr>
        <w:spacing w:after="198"/>
      </w:pPr>
      <w:r w:rsidRPr="00A154BF">
        <w:t>system operacyjny Windows 10 Professional PL 64 bit lub równoważny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proofErr w:type="spellStart"/>
      <w:r>
        <w:t>preinstalowane</w:t>
      </w:r>
      <w:proofErr w:type="spellEnd"/>
      <w:r>
        <w:t xml:space="preserve"> i skonfigurowane oprogramowanie klienta podglądu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zasilanie 230 VAC, 50 Hz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pobór mocy maksymalnie 250 W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minimalna moc zasilacza 500 W, </w:t>
      </w:r>
      <w:r w:rsidRPr="00DF3AA9">
        <w:t>certyfikat 80 Plus lub równoważny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interfejs Ethernet 10/100/1000 </w:t>
      </w:r>
      <w:proofErr w:type="spellStart"/>
      <w:r>
        <w:t>Base-T</w:t>
      </w:r>
      <w:proofErr w:type="spellEnd"/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 xml:space="preserve">opcjonalnie możliwość zainstalowania 1 lub 2 dodatkowych interfejsów Ethernet 1Gbit </w:t>
      </w:r>
      <w:r w:rsidRPr="00DF3AA9">
        <w:t xml:space="preserve">w złączu </w:t>
      </w:r>
      <w:proofErr w:type="spellStart"/>
      <w:r w:rsidRPr="00DF3AA9">
        <w:t>PCI-E</w:t>
      </w:r>
      <w:proofErr w:type="spellEnd"/>
    </w:p>
    <w:p w:rsidR="000C3B8D" w:rsidRPr="002B2AFF" w:rsidRDefault="000C3B8D" w:rsidP="000C3B8D">
      <w:pPr>
        <w:pStyle w:val="NormalnyWeb"/>
        <w:numPr>
          <w:ilvl w:val="1"/>
          <w:numId w:val="26"/>
        </w:numPr>
        <w:spacing w:after="198"/>
      </w:pPr>
      <w:r w:rsidRPr="00D917BC">
        <w:t>interfejs USB min. 4 porty USB 2.0</w:t>
      </w:r>
      <w:r>
        <w:t xml:space="preserve"> lub nowsze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zakres temperatur pracy + 5°C do + 40°C</w:t>
      </w:r>
    </w:p>
    <w:p w:rsidR="000C3B8D" w:rsidRDefault="000C3B8D" w:rsidP="000C3B8D">
      <w:pPr>
        <w:pStyle w:val="NormalnyWeb"/>
        <w:numPr>
          <w:ilvl w:val="1"/>
          <w:numId w:val="26"/>
        </w:numPr>
        <w:spacing w:after="198"/>
      </w:pPr>
      <w:r>
        <w:t>gwarancja 36 miesięcy</w:t>
      </w:r>
    </w:p>
    <w:p w:rsidR="000C3B8D" w:rsidRDefault="000C3B8D" w:rsidP="000C3B8D">
      <w:pPr>
        <w:pStyle w:val="NormalnyWeb"/>
        <w:spacing w:after="240"/>
        <w:ind w:left="720"/>
      </w:pPr>
    </w:p>
    <w:p w:rsidR="000C3B8D" w:rsidRDefault="000C3B8D" w:rsidP="000C3B8D">
      <w:pPr>
        <w:pStyle w:val="NormalnyWeb"/>
        <w:spacing w:after="198"/>
      </w:pPr>
      <w:r>
        <w:t>Monitor 24 cale LED przeznaczony do współpracy z zamawianymi stacjami roboczymi – parametry minimalne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przekątna minimum 24 cale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matryca IPS 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proporcje obrazu - 16:9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jasność - min 250 </w:t>
      </w:r>
      <w:proofErr w:type="spellStart"/>
      <w:r>
        <w:t>cd</w:t>
      </w:r>
      <w:proofErr w:type="spellEnd"/>
      <w:r>
        <w:t>/m2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kontrast - min. 1000:1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kąty widzenia - min. 178/178 stopni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czas reakcji - </w:t>
      </w:r>
      <w:proofErr w:type="spellStart"/>
      <w:r>
        <w:t>max</w:t>
      </w:r>
      <w:proofErr w:type="spellEnd"/>
      <w:r>
        <w:t xml:space="preserve">. 6 </w:t>
      </w:r>
      <w:proofErr w:type="spellStart"/>
      <w:r>
        <w:t>ms</w:t>
      </w:r>
      <w:proofErr w:type="spellEnd"/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rozdzielczość - 1920x1080 (60Hz)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zasilacz wewnętrzny (wbudowany)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pobór moc w trybie ekonomicznym - </w:t>
      </w:r>
      <w:proofErr w:type="spellStart"/>
      <w:r>
        <w:t>max</w:t>
      </w:r>
      <w:proofErr w:type="spellEnd"/>
      <w:r>
        <w:t>. 15W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maksymalny pobór mocy - 45W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temperatura pracy - od +5 do +35 stopni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lastRenderedPageBreak/>
        <w:t>dopuszczalna wilgotność pracy - w przedziale min. 20%-80%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ekran obrotowy (</w:t>
      </w:r>
      <w:proofErr w:type="spellStart"/>
      <w:r>
        <w:t>Pivot</w:t>
      </w:r>
      <w:proofErr w:type="spellEnd"/>
      <w:r>
        <w:t xml:space="preserve">) - od -90 do +90 stopni 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waga - </w:t>
      </w:r>
      <w:proofErr w:type="spellStart"/>
      <w:r>
        <w:t>max</w:t>
      </w:r>
      <w:proofErr w:type="spellEnd"/>
      <w:r>
        <w:t>. 6kg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szerokość ramki - </w:t>
      </w:r>
      <w:proofErr w:type="spellStart"/>
      <w:r>
        <w:t>max</w:t>
      </w:r>
      <w:proofErr w:type="spellEnd"/>
      <w:r>
        <w:t>. 0,8mm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wbudowany inteligentny system zarządzania energią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 xml:space="preserve">wbudowany czujnik natężenia oświetlenia i wykrywający obecność człowieka sterujący jasnością ekranu </w:t>
      </w:r>
    </w:p>
    <w:p w:rsidR="000C3B8D" w:rsidRDefault="000C3B8D" w:rsidP="000C3B8D">
      <w:pPr>
        <w:pStyle w:val="NormalnyWeb"/>
        <w:numPr>
          <w:ilvl w:val="1"/>
          <w:numId w:val="27"/>
        </w:numPr>
        <w:spacing w:after="198"/>
      </w:pPr>
      <w:r>
        <w:t>gwarancja 36 miesięcy</w:t>
      </w:r>
    </w:p>
    <w:p w:rsidR="000C3B8D" w:rsidRDefault="000C3B8D" w:rsidP="000C3B8D">
      <w:pPr>
        <w:pStyle w:val="NormalnyWeb"/>
        <w:numPr>
          <w:ilvl w:val="0"/>
          <w:numId w:val="28"/>
        </w:numPr>
        <w:spacing w:after="198"/>
      </w:pPr>
      <w:r>
        <w:t>Przełączniki sieciowe.</w:t>
      </w:r>
    </w:p>
    <w:p w:rsidR="000C3B8D" w:rsidRDefault="000C3B8D" w:rsidP="000C3B8D">
      <w:pPr>
        <w:pStyle w:val="NormalnyWeb"/>
        <w:spacing w:after="198"/>
      </w:pPr>
      <w:r>
        <w:t>Wymagane cechy techniczne, jakościowe i funkcjonalne - Przełącznik dostępowy typ A - 24 porty:</w:t>
      </w:r>
    </w:p>
    <w:p w:rsidR="000C3B8D" w:rsidRDefault="000C3B8D" w:rsidP="000C3B8D">
      <w:pPr>
        <w:pStyle w:val="NormalnyWeb"/>
        <w:spacing w:after="198"/>
      </w:pPr>
      <w:r>
        <w:t>Wymagania podstawowe:</w:t>
      </w:r>
    </w:p>
    <w:p w:rsidR="000C3B8D" w:rsidRPr="001E75D1" w:rsidRDefault="000C3B8D" w:rsidP="000C3B8D">
      <w:pPr>
        <w:pStyle w:val="NormalnyWeb"/>
        <w:numPr>
          <w:ilvl w:val="0"/>
          <w:numId w:val="29"/>
        </w:numPr>
        <w:spacing w:after="198"/>
      </w:pPr>
      <w:r w:rsidRPr="001E75D1">
        <w:t xml:space="preserve">Przełącznik posiadający min. 24 interfejsów 10/100/1000BASE-T, min. 4 interfejsy </w:t>
      </w:r>
      <w:proofErr w:type="spellStart"/>
      <w:r w:rsidRPr="001E75D1">
        <w:t>uplink</w:t>
      </w:r>
      <w:proofErr w:type="spellEnd"/>
      <w:r w:rsidRPr="001E75D1">
        <w:t xml:space="preserve"> 1GBASE-X SFP , min. 2 interfejsy </w:t>
      </w:r>
      <w:proofErr w:type="spellStart"/>
      <w:r w:rsidRPr="001E75D1">
        <w:t>uplink</w:t>
      </w:r>
      <w:proofErr w:type="spellEnd"/>
      <w:r w:rsidRPr="001E75D1">
        <w:t xml:space="preserve"> 10GBASE-X SFP+ oraz 2 interfejsy 10GBASE-X SFP+ do łączenia urządzeń w stos. </w:t>
      </w:r>
    </w:p>
    <w:p w:rsidR="000C3B8D" w:rsidRDefault="000C3B8D" w:rsidP="000C3B8D">
      <w:pPr>
        <w:pStyle w:val="NormalnyWeb"/>
        <w:numPr>
          <w:ilvl w:val="0"/>
          <w:numId w:val="29"/>
        </w:numPr>
        <w:spacing w:after="198"/>
      </w:pPr>
      <w:r>
        <w:t xml:space="preserve">Wbudowany dodatkowy interfejs do zarządzania poza pasmem - out of band management. </w:t>
      </w:r>
    </w:p>
    <w:p w:rsidR="000C3B8D" w:rsidRDefault="000C3B8D" w:rsidP="000C3B8D">
      <w:pPr>
        <w:pStyle w:val="NormalnyWeb"/>
        <w:numPr>
          <w:ilvl w:val="0"/>
          <w:numId w:val="29"/>
        </w:numPr>
        <w:spacing w:after="198"/>
      </w:pPr>
      <w:r>
        <w:t xml:space="preserve">Przełącznik musi wspierać technologię Power </w:t>
      </w:r>
      <w:proofErr w:type="spellStart"/>
      <w:r>
        <w:t>over</w:t>
      </w:r>
      <w:proofErr w:type="spellEnd"/>
      <w:r>
        <w:t xml:space="preserve"> Ethernet (</w:t>
      </w:r>
      <w:proofErr w:type="spellStart"/>
      <w:r>
        <w:t>PoE</w:t>
      </w:r>
      <w:proofErr w:type="spellEnd"/>
      <w:r>
        <w:t xml:space="preserve">) zgodnie ze standardami </w:t>
      </w:r>
      <w:r w:rsidRPr="001E75D1">
        <w:t>IEEE 802.3af (</w:t>
      </w:r>
      <w:proofErr w:type="spellStart"/>
      <w:r w:rsidRPr="001E75D1">
        <w:t>PoE</w:t>
      </w:r>
      <w:proofErr w:type="spellEnd"/>
      <w:r w:rsidRPr="001E75D1">
        <w:t>)</w:t>
      </w:r>
      <w:r>
        <w:t xml:space="preserve"> do zasilania urządzeń takich jak punkty dostępowe WLAN, telefony </w:t>
      </w:r>
      <w:proofErr w:type="spellStart"/>
      <w:r>
        <w:t>VoIP</w:t>
      </w:r>
      <w:proofErr w:type="spellEnd"/>
      <w:r>
        <w:t xml:space="preserve"> i kamery monitoringu wizyjnego.</w:t>
      </w:r>
    </w:p>
    <w:p w:rsidR="000C3B8D" w:rsidRDefault="000C3B8D" w:rsidP="000C3B8D">
      <w:pPr>
        <w:pStyle w:val="NormalnyWeb"/>
        <w:numPr>
          <w:ilvl w:val="0"/>
          <w:numId w:val="29"/>
        </w:numPr>
        <w:spacing w:after="198"/>
      </w:pPr>
      <w:r>
        <w:t xml:space="preserve">Przełącznik musi posiadać wsparcie </w:t>
      </w:r>
      <w:r w:rsidRPr="001E75D1">
        <w:t xml:space="preserve">Energy </w:t>
      </w:r>
      <w:proofErr w:type="spellStart"/>
      <w:r w:rsidRPr="001E75D1">
        <w:t>Efficient</w:t>
      </w:r>
      <w:proofErr w:type="spellEnd"/>
      <w:r w:rsidRPr="001E75D1">
        <w:t xml:space="preserve"> Ethernet IEEE 802.3az na</w:t>
      </w:r>
      <w:r>
        <w:t xml:space="preserve"> wszystkich interfejsach 10/100/1000BASE-T.</w:t>
      </w:r>
    </w:p>
    <w:p w:rsidR="000C3B8D" w:rsidRPr="001E75D1" w:rsidRDefault="000C3B8D" w:rsidP="000C3B8D">
      <w:pPr>
        <w:pStyle w:val="NormalnyWeb"/>
        <w:numPr>
          <w:ilvl w:val="0"/>
          <w:numId w:val="29"/>
        </w:numPr>
        <w:spacing w:after="198"/>
      </w:pPr>
      <w:r w:rsidRPr="001E75D1">
        <w:t>Wysokość urządzenia nie więcej niż 1U.</w:t>
      </w:r>
    </w:p>
    <w:p w:rsidR="000C3B8D" w:rsidRPr="001E75D1" w:rsidRDefault="000C3B8D" w:rsidP="000C3B8D">
      <w:pPr>
        <w:pStyle w:val="NormalnyWeb"/>
        <w:numPr>
          <w:ilvl w:val="0"/>
          <w:numId w:val="29"/>
        </w:numPr>
        <w:spacing w:after="198"/>
      </w:pPr>
      <w:r w:rsidRPr="001E75D1">
        <w:t xml:space="preserve">Przełącznik musi posiadać wbudowany zasilacz 230V AC zapewniający budżet mocy dla technologii </w:t>
      </w:r>
      <w:proofErr w:type="spellStart"/>
      <w:r w:rsidRPr="001E75D1">
        <w:t>PoE</w:t>
      </w:r>
      <w:proofErr w:type="spellEnd"/>
      <w:r w:rsidRPr="001E75D1">
        <w:t xml:space="preserve"> na poziomie min. 380W zapewniając jednocześnie min. 15W dla wszystkich interfejsów 10/100/100BASE-T. </w:t>
      </w:r>
    </w:p>
    <w:p w:rsidR="000C3B8D" w:rsidRDefault="000C3B8D" w:rsidP="000C3B8D">
      <w:pPr>
        <w:pStyle w:val="NormalnyWeb"/>
        <w:numPr>
          <w:ilvl w:val="0"/>
          <w:numId w:val="29"/>
        </w:numPr>
        <w:spacing w:after="198"/>
      </w:pPr>
      <w:r>
        <w:t>Przełącznik musi mieć możliwość instalacji dodatkowego wewnętrznego lub zewnętrznego źródła zasilania.</w:t>
      </w:r>
    </w:p>
    <w:p w:rsidR="000C3B8D" w:rsidRDefault="000C3B8D" w:rsidP="000C3B8D">
      <w:pPr>
        <w:pStyle w:val="NormalnyWeb"/>
        <w:spacing w:after="198"/>
      </w:pPr>
      <w:r>
        <w:t>Wydajność: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 xml:space="preserve">Przełącznik musi posiadać nieblokującą architekturę o wydajności przełączania min. 128 </w:t>
      </w:r>
      <w:proofErr w:type="spellStart"/>
      <w:r>
        <w:t>Gbps</w:t>
      </w:r>
      <w:proofErr w:type="spellEnd"/>
      <w:r>
        <w:t xml:space="preserve"> oraz szybkości przełączania min. 95 </w:t>
      </w:r>
      <w:proofErr w:type="spellStart"/>
      <w:r>
        <w:t>Mpps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 xml:space="preserve">Musi posiadać możliwość realizacji stosów – łączenia fizycznych przełączników w zarządzane z pojedynczego adresu IP jedno logiczne urządzenie. Do łączenia przełączników muszą być wykorzystane dedykowane interfejsy – bez ograniczania liczby interfejsów </w:t>
      </w:r>
      <w:proofErr w:type="spellStart"/>
      <w:r>
        <w:t>uplink</w:t>
      </w:r>
      <w:proofErr w:type="spellEnd"/>
      <w:r>
        <w:t xml:space="preserve">. Architektura stosu musi umożliwiać realizację zamkniętej </w:t>
      </w:r>
      <w:r>
        <w:lastRenderedPageBreak/>
        <w:t xml:space="preserve">pętli. Wydajność przełączania w stosie min. 40Gbps. Wymagana jest możliwość łączenia do 8 przełączników w stos (w tym również przełączników nie wspierających technologii </w:t>
      </w:r>
      <w:proofErr w:type="spellStart"/>
      <w:r>
        <w:t>PoE</w:t>
      </w:r>
      <w:proofErr w:type="spellEnd"/>
      <w:r>
        <w:t>).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>Tablica MAC adresów min. 16k.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>Pamięć operacyjna: min. 1GB pamięci DRAM.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 xml:space="preserve">Pamięć </w:t>
      </w:r>
      <w:proofErr w:type="spellStart"/>
      <w:r>
        <w:t>flash</w:t>
      </w:r>
      <w:proofErr w:type="spellEnd"/>
      <w:r>
        <w:t xml:space="preserve">: min. 2GB pamięci </w:t>
      </w:r>
      <w:proofErr w:type="spellStart"/>
      <w:r>
        <w:t>Flash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>Pojemność bufora pakietów min. 1,5 MB.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>Obsługa sieci wirtualnych IEEE 802.1Q – min. 4094.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 xml:space="preserve">Obsługa funkcjonalności </w:t>
      </w:r>
      <w:proofErr w:type="spellStart"/>
      <w:r>
        <w:t>Private</w:t>
      </w:r>
      <w:proofErr w:type="spellEnd"/>
      <w:r>
        <w:t xml:space="preserve"> VLAN - blokowanie ruchu pomiędzy klientami z umożliwieniem łączności do wspólnych zasobów sieci.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</w:pPr>
      <w:r>
        <w:t xml:space="preserve">Wsparcie dla ramek </w:t>
      </w:r>
      <w:proofErr w:type="spellStart"/>
      <w:r>
        <w:t>Jumbo</w:t>
      </w:r>
      <w:proofErr w:type="spellEnd"/>
      <w:r>
        <w:t xml:space="preserve"> </w:t>
      </w:r>
      <w:proofErr w:type="spellStart"/>
      <w:r>
        <w:t>Frames</w:t>
      </w:r>
      <w:proofErr w:type="spellEnd"/>
      <w:r>
        <w:t xml:space="preserve"> (min. 9198 bajtów).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Q-in-Q IEEE 802.1ad.</w:t>
      </w:r>
    </w:p>
    <w:p w:rsidR="000C3B8D" w:rsidRDefault="000C3B8D" w:rsidP="000C3B8D">
      <w:pPr>
        <w:pStyle w:val="NormalnyWeb"/>
        <w:numPr>
          <w:ilvl w:val="0"/>
          <w:numId w:val="30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Quality of Service:</w:t>
      </w:r>
    </w:p>
    <w:p w:rsidR="000C3B8D" w:rsidRDefault="000C3B8D" w:rsidP="000C3B8D">
      <w:pPr>
        <w:pStyle w:val="NormalnyWeb"/>
        <w:numPr>
          <w:ilvl w:val="2"/>
          <w:numId w:val="31"/>
        </w:numPr>
        <w:spacing w:after="198"/>
        <w:rPr>
          <w:lang w:val="en-US"/>
        </w:rPr>
      </w:pPr>
      <w:r>
        <w:rPr>
          <w:lang w:val="en-US"/>
        </w:rPr>
        <w:t>IEEE 802.1p</w:t>
      </w:r>
    </w:p>
    <w:p w:rsidR="000C3B8D" w:rsidRDefault="000C3B8D" w:rsidP="000C3B8D">
      <w:pPr>
        <w:pStyle w:val="NormalnyWeb"/>
        <w:numPr>
          <w:ilvl w:val="2"/>
          <w:numId w:val="31"/>
        </w:numPr>
        <w:spacing w:after="198"/>
      </w:pPr>
      <w:proofErr w:type="spellStart"/>
      <w:r>
        <w:t>DiffServ</w:t>
      </w:r>
      <w:proofErr w:type="spellEnd"/>
    </w:p>
    <w:p w:rsidR="000C3B8D" w:rsidRDefault="000C3B8D" w:rsidP="000C3B8D">
      <w:pPr>
        <w:pStyle w:val="NormalnyWeb"/>
        <w:numPr>
          <w:ilvl w:val="2"/>
          <w:numId w:val="31"/>
        </w:numPr>
        <w:spacing w:after="198"/>
      </w:pPr>
      <w:r>
        <w:t>8 kolejek priorytetów na każdym porcie wyjściowym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Link Layer Discovery Protocol LLDP IEEE 802.1AB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LLDP Media Endpoint Discovery (LLDP-MED) 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</w:pPr>
      <w:r>
        <w:t>Wbudowany DHCP serwer i klient.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</w:pPr>
      <w:r>
        <w:t xml:space="preserve">Możliwość instalacji min. dwóch wersji oprogramowania – </w:t>
      </w:r>
      <w:proofErr w:type="spellStart"/>
      <w:r>
        <w:t>firmware</w:t>
      </w:r>
      <w:proofErr w:type="spellEnd"/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</w:pPr>
      <w:r>
        <w:t>Możliwość przechowywania min. kilkunastu wersji konfiguracji w plikach tekstowych w pamięci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  <w:rPr>
          <w:lang w:val="en-US"/>
        </w:rPr>
      </w:pPr>
      <w:proofErr w:type="spellStart"/>
      <w:r>
        <w:rPr>
          <w:lang w:val="en-US"/>
        </w:rPr>
        <w:t>Możliwość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monitorowania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zajętości</w:t>
      </w:r>
      <w:proofErr w:type="spellEnd"/>
      <w:r>
        <w:rPr>
          <w:lang w:val="en-US"/>
        </w:rPr>
        <w:t xml:space="preserve"> CPU</w:t>
      </w:r>
    </w:p>
    <w:p w:rsidR="000C3B8D" w:rsidRDefault="000C3B8D" w:rsidP="000C3B8D">
      <w:pPr>
        <w:pStyle w:val="NormalnyWeb"/>
        <w:numPr>
          <w:ilvl w:val="0"/>
          <w:numId w:val="32"/>
        </w:numPr>
        <w:spacing w:after="198"/>
      </w:pPr>
      <w:r>
        <w:t>Lokalna i zdalna możliwość monitoringu pakietów (</w:t>
      </w:r>
      <w:proofErr w:type="spellStart"/>
      <w:r>
        <w:t>Local</w:t>
      </w:r>
      <w:proofErr w:type="spellEnd"/>
      <w:r>
        <w:t xml:space="preserve"> and </w:t>
      </w:r>
      <w:proofErr w:type="spellStart"/>
      <w:r>
        <w:t>Remote</w:t>
      </w:r>
      <w:proofErr w:type="spellEnd"/>
      <w:r>
        <w:t xml:space="preserve"> Mirroring)</w:t>
      </w:r>
    </w:p>
    <w:p w:rsidR="000C3B8D" w:rsidRDefault="000C3B8D" w:rsidP="000C3B8D">
      <w:pPr>
        <w:pStyle w:val="NormalnyWeb"/>
        <w:spacing w:after="198"/>
      </w:pPr>
      <w:r>
        <w:t xml:space="preserve">Obsługa </w:t>
      </w:r>
      <w:proofErr w:type="spellStart"/>
      <w:r>
        <w:t>routingu</w:t>
      </w:r>
      <w:proofErr w:type="spellEnd"/>
      <w:r>
        <w:t xml:space="preserve"> IPv4: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</w:pPr>
      <w:r>
        <w:t xml:space="preserve">Sprzętowa obsługa </w:t>
      </w:r>
      <w:proofErr w:type="spellStart"/>
      <w:r>
        <w:t>routingu</w:t>
      </w:r>
      <w:proofErr w:type="spellEnd"/>
      <w:r>
        <w:t xml:space="preserve"> IPv4 – </w:t>
      </w:r>
      <w:proofErr w:type="spellStart"/>
      <w:r>
        <w:t>forwarding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</w:pPr>
      <w:r>
        <w:t xml:space="preserve">Pojemność tabeli </w:t>
      </w:r>
      <w:proofErr w:type="spellStart"/>
      <w:r>
        <w:t>routingu</w:t>
      </w:r>
      <w:proofErr w:type="spellEnd"/>
      <w:r>
        <w:t xml:space="preserve"> min. 450 wpisów.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</w:pPr>
      <w:proofErr w:type="spellStart"/>
      <w:r>
        <w:t>Routing</w:t>
      </w:r>
      <w:proofErr w:type="spellEnd"/>
      <w:r>
        <w:t xml:space="preserve"> statyczny.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</w:pPr>
      <w:r>
        <w:t xml:space="preserve">Obsługa </w:t>
      </w:r>
      <w:proofErr w:type="spellStart"/>
      <w:r>
        <w:t>routingu</w:t>
      </w:r>
      <w:proofErr w:type="spellEnd"/>
      <w:r>
        <w:t xml:space="preserve"> dynamicznego IPv4 ze wsparciem przynajmniej dla protokołu RIPv1/v2.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  <w:rPr>
          <w:lang w:val="en-US"/>
        </w:rPr>
      </w:pPr>
      <w:r>
        <w:rPr>
          <w:lang w:val="en-US"/>
        </w:rPr>
        <w:t xml:space="preserve">Policy Based Routing </w:t>
      </w:r>
      <w:proofErr w:type="spellStart"/>
      <w:r>
        <w:rPr>
          <w:lang w:val="en-US"/>
        </w:rPr>
        <w:t>dla</w:t>
      </w:r>
      <w:proofErr w:type="spellEnd"/>
      <w:r>
        <w:rPr>
          <w:lang w:val="en-US"/>
        </w:rPr>
        <w:t xml:space="preserve"> IPv4.</w:t>
      </w:r>
    </w:p>
    <w:p w:rsidR="000C3B8D" w:rsidRDefault="000C3B8D" w:rsidP="000C3B8D">
      <w:pPr>
        <w:pStyle w:val="NormalnyWeb"/>
        <w:numPr>
          <w:ilvl w:val="0"/>
          <w:numId w:val="33"/>
        </w:numPr>
        <w:spacing w:after="198"/>
      </w:pPr>
      <w:r>
        <w:lastRenderedPageBreak/>
        <w:t xml:space="preserve">Możliwość licencyjnej rozbudowy rozszerzającej funkcje </w:t>
      </w:r>
      <w:proofErr w:type="spellStart"/>
      <w:r>
        <w:t>routingu</w:t>
      </w:r>
      <w:proofErr w:type="spellEnd"/>
      <w:r>
        <w:t xml:space="preserve"> o protokół OSPF.</w:t>
      </w:r>
    </w:p>
    <w:p w:rsidR="000C3B8D" w:rsidRDefault="000C3B8D" w:rsidP="000C3B8D">
      <w:pPr>
        <w:pStyle w:val="NormalnyWeb"/>
        <w:spacing w:after="198"/>
      </w:pPr>
      <w:r>
        <w:t xml:space="preserve">Obsługa </w:t>
      </w:r>
      <w:proofErr w:type="spellStart"/>
      <w:r>
        <w:t>routingu</w:t>
      </w:r>
      <w:proofErr w:type="spellEnd"/>
      <w:r>
        <w:t xml:space="preserve"> IPv6: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</w:pPr>
      <w:r>
        <w:t xml:space="preserve">Sprzętowa obsługa </w:t>
      </w:r>
      <w:proofErr w:type="spellStart"/>
      <w:r>
        <w:t>routingu</w:t>
      </w:r>
      <w:proofErr w:type="spellEnd"/>
      <w:r>
        <w:t xml:space="preserve"> IPv6 – </w:t>
      </w:r>
      <w:proofErr w:type="spellStart"/>
      <w:r>
        <w:t>forwarding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</w:pPr>
      <w:r>
        <w:t xml:space="preserve">Pojemność tabeli </w:t>
      </w:r>
      <w:proofErr w:type="spellStart"/>
      <w:r>
        <w:t>routingu</w:t>
      </w:r>
      <w:proofErr w:type="spellEnd"/>
      <w:r>
        <w:t xml:space="preserve"> min. 225 wpisów.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</w:pPr>
      <w:proofErr w:type="spellStart"/>
      <w:r>
        <w:t>Routing</w:t>
      </w:r>
      <w:proofErr w:type="spellEnd"/>
      <w:r>
        <w:t xml:space="preserve"> statyczny.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</w:pPr>
      <w:r>
        <w:t xml:space="preserve">Obsługa </w:t>
      </w:r>
      <w:proofErr w:type="spellStart"/>
      <w:r>
        <w:t>routingu</w:t>
      </w:r>
      <w:proofErr w:type="spellEnd"/>
      <w:r>
        <w:t xml:space="preserve"> dynamicznego dla IPv6 ze wsparciem przynajmniej dla protokołu </w:t>
      </w:r>
      <w:proofErr w:type="spellStart"/>
      <w:r>
        <w:t>RIPng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  <w:rPr>
          <w:lang w:val="en-US"/>
        </w:rPr>
      </w:pPr>
      <w:r>
        <w:rPr>
          <w:lang w:val="en-US"/>
        </w:rPr>
        <w:t xml:space="preserve">Policy Based Routing </w:t>
      </w:r>
      <w:proofErr w:type="spellStart"/>
      <w:r>
        <w:rPr>
          <w:lang w:val="en-US"/>
        </w:rPr>
        <w:t>dla</w:t>
      </w:r>
      <w:proofErr w:type="spellEnd"/>
      <w:r>
        <w:rPr>
          <w:lang w:val="en-US"/>
        </w:rPr>
        <w:t xml:space="preserve"> IPv6.</w:t>
      </w:r>
    </w:p>
    <w:p w:rsidR="000C3B8D" w:rsidRDefault="000C3B8D" w:rsidP="000C3B8D">
      <w:pPr>
        <w:pStyle w:val="NormalnyWeb"/>
        <w:numPr>
          <w:ilvl w:val="0"/>
          <w:numId w:val="34"/>
        </w:numPr>
        <w:spacing w:after="198"/>
      </w:pPr>
      <w:r>
        <w:t xml:space="preserve">Możliwość licencyjnej rozbudowy rozszerzającej funkcje </w:t>
      </w:r>
      <w:proofErr w:type="spellStart"/>
      <w:r>
        <w:t>routingu</w:t>
      </w:r>
      <w:proofErr w:type="spellEnd"/>
      <w:r>
        <w:t xml:space="preserve"> o protokół OSPF v3.</w:t>
      </w:r>
    </w:p>
    <w:p w:rsidR="000C3B8D" w:rsidRDefault="000C3B8D" w:rsidP="000C3B8D">
      <w:pPr>
        <w:pStyle w:val="NormalnyWeb"/>
        <w:spacing w:after="198"/>
      </w:pPr>
      <w:r>
        <w:t xml:space="preserve">Obsługa ruchu </w:t>
      </w:r>
      <w:proofErr w:type="spellStart"/>
      <w:r>
        <w:t>multicast</w:t>
      </w:r>
      <w:proofErr w:type="spellEnd"/>
      <w:r>
        <w:t>: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</w:pPr>
      <w:r>
        <w:t xml:space="preserve">Statyczne przyłączenie do grupy </w:t>
      </w:r>
      <w:proofErr w:type="spellStart"/>
      <w:r>
        <w:t>multicast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</w:pPr>
      <w:r>
        <w:t>Filtrowanie IGMP.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</w:pPr>
      <w:r>
        <w:t>Obsługa IGMP v1 (RFC 1112).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</w:pPr>
      <w:r>
        <w:t>Obsługa IGMP v2 (RFC 2236).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</w:pPr>
      <w:r>
        <w:t>Obsługa IGMP v3 (RFC 3376).</w:t>
      </w:r>
    </w:p>
    <w:p w:rsidR="000C3B8D" w:rsidRDefault="000C3B8D" w:rsidP="000C3B8D">
      <w:pPr>
        <w:pStyle w:val="NormalnyWeb"/>
        <w:numPr>
          <w:ilvl w:val="0"/>
          <w:numId w:val="3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IGMP v1/v2/v3 snooping. </w:t>
      </w:r>
    </w:p>
    <w:p w:rsidR="000C3B8D" w:rsidRDefault="000C3B8D" w:rsidP="000C3B8D">
      <w:pPr>
        <w:pStyle w:val="NormalnyWeb"/>
        <w:spacing w:after="198"/>
      </w:pPr>
      <w:r>
        <w:t>Bezpieczeństwo sieciowe:</w:t>
      </w:r>
    </w:p>
    <w:p w:rsidR="000C3B8D" w:rsidRDefault="000C3B8D" w:rsidP="000C3B8D">
      <w:pPr>
        <w:pStyle w:val="NormalnyWeb"/>
        <w:numPr>
          <w:ilvl w:val="0"/>
          <w:numId w:val="36"/>
        </w:numPr>
        <w:spacing w:after="198"/>
      </w:pPr>
      <w:r>
        <w:t>Obsługa uwierzytelniania stacji roboczych z wykorzystaniem mechanizmów:</w:t>
      </w:r>
    </w:p>
    <w:p w:rsidR="000C3B8D" w:rsidRDefault="000C3B8D" w:rsidP="000C3B8D">
      <w:pPr>
        <w:pStyle w:val="NormalnyWeb"/>
        <w:numPr>
          <w:ilvl w:val="0"/>
          <w:numId w:val="37"/>
        </w:numPr>
        <w:spacing w:after="198"/>
        <w:rPr>
          <w:lang w:val="en-US"/>
        </w:rPr>
      </w:pPr>
      <w:r>
        <w:rPr>
          <w:lang w:val="en-US"/>
        </w:rPr>
        <w:t>IEEE 802.1x,</w:t>
      </w:r>
    </w:p>
    <w:p w:rsidR="000C3B8D" w:rsidRDefault="000C3B8D" w:rsidP="000C3B8D">
      <w:pPr>
        <w:pStyle w:val="NormalnyWeb"/>
        <w:numPr>
          <w:ilvl w:val="0"/>
          <w:numId w:val="37"/>
        </w:numPr>
        <w:spacing w:after="198"/>
        <w:rPr>
          <w:lang w:val="en-US"/>
        </w:rPr>
      </w:pPr>
      <w:r>
        <w:rPr>
          <w:lang w:val="en-US"/>
        </w:rPr>
        <w:t>Web-based,</w:t>
      </w:r>
    </w:p>
    <w:p w:rsidR="000C3B8D" w:rsidRDefault="000C3B8D" w:rsidP="000C3B8D">
      <w:pPr>
        <w:pStyle w:val="NormalnyWeb"/>
        <w:numPr>
          <w:ilvl w:val="0"/>
          <w:numId w:val="37"/>
        </w:numPr>
        <w:spacing w:after="198"/>
      </w:pPr>
      <w:r>
        <w:t>Adres MAC.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 xml:space="preserve">Obsługa wielu sesji uwierzytelniających (min. 4) na jednym porcie. 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 xml:space="preserve">Obsługa </w:t>
      </w:r>
      <w:proofErr w:type="spellStart"/>
      <w:r>
        <w:t>Guest</w:t>
      </w:r>
      <w:proofErr w:type="spellEnd"/>
      <w:r>
        <w:t xml:space="preserve"> VLAN.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TACACS+ (RFC 1492).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RADIUS Authentication (RFC 2865).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RADIUS Accounting (RFC 2866).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>Dwukierunkowe (</w:t>
      </w:r>
      <w:proofErr w:type="spellStart"/>
      <w:r>
        <w:t>ingress</w:t>
      </w:r>
      <w:proofErr w:type="spellEnd"/>
      <w:r>
        <w:t xml:space="preserve"> oraz </w:t>
      </w:r>
      <w:proofErr w:type="spellStart"/>
      <w:r>
        <w:t>egress</w:t>
      </w:r>
      <w:proofErr w:type="spellEnd"/>
      <w:r>
        <w:t xml:space="preserve">) listy kontroli dostępu (ACL) pracujące na warstwie 2, 3 i 4. 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lastRenderedPageBreak/>
        <w:t>Listy kontroli dostępu ACL realizowane w sprzęcie bez zmniejszenia wydajności przełącznika.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>Obsługa bezpiecznego transferu plików SCP/SFTP.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DHCP Option 82.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Trusted DHCP Server.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 xml:space="preserve">Obsługa DHCP </w:t>
      </w:r>
      <w:proofErr w:type="spellStart"/>
      <w:r>
        <w:t>Snooping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>Ograniczanie przepustowości (</w:t>
      </w:r>
      <w:proofErr w:type="spellStart"/>
      <w:r>
        <w:t>rate</w:t>
      </w:r>
      <w:proofErr w:type="spellEnd"/>
      <w:r>
        <w:t xml:space="preserve"> </w:t>
      </w:r>
      <w:proofErr w:type="spellStart"/>
      <w:r>
        <w:t>limiting</w:t>
      </w:r>
      <w:proofErr w:type="spellEnd"/>
      <w:r>
        <w:t xml:space="preserve">) na interfejsach wyjściowych z kwantem 8 </w:t>
      </w:r>
      <w:proofErr w:type="spellStart"/>
      <w:r>
        <w:t>kb</w:t>
      </w:r>
      <w:proofErr w:type="spellEnd"/>
      <w:r>
        <w:t>/s.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STP (Spinning Tree Protocol) IEEE 802.1D.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RSTP (Rapid Spanning Tree Protocol) IEEE 802.1w.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MSTP (Multiple Spanning Tree Protocol) IEEE 802.1s.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PVST+.Obsługa</w:t>
      </w:r>
      <w:proofErr w:type="spellEnd"/>
      <w:r>
        <w:rPr>
          <w:lang w:val="en-US"/>
        </w:rPr>
        <w:t xml:space="preserve"> G.8032. </w:t>
      </w:r>
    </w:p>
    <w:p w:rsidR="000C3B8D" w:rsidRDefault="000C3B8D" w:rsidP="000C3B8D">
      <w:pPr>
        <w:pStyle w:val="NormalnyWeb"/>
        <w:numPr>
          <w:ilvl w:val="0"/>
          <w:numId w:val="38"/>
        </w:numPr>
        <w:spacing w:after="198"/>
      </w:pPr>
      <w:r>
        <w:t xml:space="preserve">Obsługa Link </w:t>
      </w:r>
      <w:proofErr w:type="spellStart"/>
      <w:r>
        <w:t>Aggregation</w:t>
      </w:r>
      <w:proofErr w:type="spellEnd"/>
      <w:r>
        <w:t xml:space="preserve"> IEEE 802.3ad wraz z LACP – min. 64 grupy po 8 interfejsów.</w:t>
      </w:r>
    </w:p>
    <w:p w:rsidR="000C3B8D" w:rsidRDefault="000C3B8D" w:rsidP="000C3B8D">
      <w:pPr>
        <w:pStyle w:val="NormalnyWeb"/>
        <w:spacing w:after="198"/>
      </w:pPr>
      <w:r>
        <w:t>Zarządzanie: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 xml:space="preserve">Obsługa synchronizacji czasu NTP/SNTP. 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Zarządzanie przez SNMP v1/v2/v3.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Zarządzanie przez przeglądarkę WWW z wykorzystaniem protokołu http i https.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Telnet Serwer/Klient dla IPv4 / IPv6.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SSH2 Serwer/Klient dla IPv4 / IPv6.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  <w:rPr>
          <w:lang w:val="en-US"/>
        </w:rPr>
      </w:pPr>
      <w:r>
        <w:rPr>
          <w:lang w:val="en-US"/>
        </w:rPr>
        <w:t xml:space="preserve">Ping </w:t>
      </w:r>
      <w:proofErr w:type="spellStart"/>
      <w:r>
        <w:rPr>
          <w:lang w:val="en-US"/>
        </w:rPr>
        <w:t>dla</w:t>
      </w:r>
      <w:proofErr w:type="spellEnd"/>
      <w:r>
        <w:rPr>
          <w:lang w:val="en-US"/>
        </w:rPr>
        <w:t xml:space="preserve"> IPv4 / IPv6.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proofErr w:type="spellStart"/>
      <w:r>
        <w:t>Traceroute</w:t>
      </w:r>
      <w:proofErr w:type="spellEnd"/>
      <w:r>
        <w:t xml:space="preserve"> dla IPv4 / IPv6.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Obsługa SYSLOG z możliwością definiowania wielu serwerów.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RMON min. 4 </w:t>
      </w:r>
      <w:proofErr w:type="spellStart"/>
      <w:r>
        <w:rPr>
          <w:lang w:val="en-US"/>
        </w:rPr>
        <w:t>grupy</w:t>
      </w:r>
      <w:proofErr w:type="spellEnd"/>
      <w:r>
        <w:rPr>
          <w:lang w:val="en-US"/>
        </w:rPr>
        <w:t>: Status, History, Alarms, Events (RFC 1757).</w:t>
      </w:r>
    </w:p>
    <w:p w:rsidR="000C3B8D" w:rsidRDefault="000C3B8D" w:rsidP="000C3B8D">
      <w:pPr>
        <w:pStyle w:val="NormalnyWeb"/>
        <w:numPr>
          <w:ilvl w:val="0"/>
          <w:numId w:val="39"/>
        </w:numPr>
        <w:spacing w:after="198"/>
      </w:pPr>
      <w:r>
        <w:t>Obsługa RMON2 (RFC 2021).</w:t>
      </w:r>
    </w:p>
    <w:p w:rsidR="000C3B8D" w:rsidRDefault="000C3B8D" w:rsidP="000C3B8D">
      <w:pPr>
        <w:pStyle w:val="NormalnyWeb"/>
        <w:spacing w:after="198"/>
        <w:rPr>
          <w:lang w:val="en-US"/>
        </w:rPr>
      </w:pPr>
      <w:proofErr w:type="spellStart"/>
      <w:r>
        <w:rPr>
          <w:lang w:val="en-US"/>
        </w:rPr>
        <w:t>Gwarancja</w:t>
      </w:r>
      <w:proofErr w:type="spellEnd"/>
      <w:r>
        <w:rPr>
          <w:lang w:val="en-US"/>
        </w:rPr>
        <w:t>:</w:t>
      </w:r>
    </w:p>
    <w:p w:rsidR="000C3B8D" w:rsidRDefault="000C3B8D" w:rsidP="000C3B8D">
      <w:pPr>
        <w:pStyle w:val="NormalnyWeb"/>
        <w:numPr>
          <w:ilvl w:val="0"/>
          <w:numId w:val="40"/>
        </w:numPr>
        <w:spacing w:after="198"/>
      </w:pPr>
      <w:r>
        <w:t>Wraz z urządzeniem wymagane jest dostarczenie kontraktu serwisowego na okres min. 5 lat umożliwiającego:</w:t>
      </w:r>
    </w:p>
    <w:p w:rsidR="000C3B8D" w:rsidRDefault="000C3B8D" w:rsidP="000C3B8D">
      <w:pPr>
        <w:pStyle w:val="NormalnyWeb"/>
        <w:numPr>
          <w:ilvl w:val="0"/>
          <w:numId w:val="41"/>
        </w:numPr>
        <w:spacing w:after="198"/>
      </w:pPr>
      <w:r>
        <w:t xml:space="preserve">bezpłatne aktualizacje oprogramowania </w:t>
      </w:r>
      <w:proofErr w:type="spellStart"/>
      <w:r>
        <w:t>firmware</w:t>
      </w:r>
      <w:proofErr w:type="spellEnd"/>
      <w:r>
        <w:t>,</w:t>
      </w:r>
    </w:p>
    <w:p w:rsidR="000C3B8D" w:rsidRDefault="000C3B8D" w:rsidP="000C3B8D">
      <w:pPr>
        <w:pStyle w:val="NormalnyWeb"/>
        <w:numPr>
          <w:ilvl w:val="0"/>
          <w:numId w:val="41"/>
        </w:numPr>
        <w:spacing w:after="198"/>
      </w:pPr>
      <w:r>
        <w:t>wymianę uszkodzonego urządzenia z wysyłką następnego dnia roboczego od weryfikacji awarii,</w:t>
      </w:r>
    </w:p>
    <w:p w:rsidR="000C3B8D" w:rsidRDefault="000C3B8D" w:rsidP="000C3B8D">
      <w:pPr>
        <w:pStyle w:val="NormalnyWeb"/>
        <w:numPr>
          <w:ilvl w:val="0"/>
          <w:numId w:val="41"/>
        </w:numPr>
        <w:spacing w:after="198"/>
      </w:pPr>
      <w:r>
        <w:lastRenderedPageBreak/>
        <w:t xml:space="preserve">wsparcia technicznego producenta poprzez infolinię, pocztę e-mail oraz telefon. </w:t>
      </w:r>
    </w:p>
    <w:p w:rsidR="000C3B8D" w:rsidRDefault="000C3B8D" w:rsidP="000C3B8D">
      <w:pPr>
        <w:pStyle w:val="NormalnyWeb"/>
        <w:spacing w:after="198"/>
      </w:pPr>
      <w:r>
        <w:t>Wyposażenie dodatkowe:</w:t>
      </w:r>
    </w:p>
    <w:p w:rsidR="000C3B8D" w:rsidRDefault="000C3B8D" w:rsidP="000C3B8D">
      <w:pPr>
        <w:pStyle w:val="NormalnyWeb"/>
        <w:spacing w:after="198"/>
      </w:pPr>
      <w:r>
        <w:t xml:space="preserve">Wraz z przełącznikiem wymagane jest dostarczenie: </w:t>
      </w:r>
    </w:p>
    <w:p w:rsidR="000C3B8D" w:rsidRDefault="000C3B8D" w:rsidP="000C3B8D">
      <w:pPr>
        <w:pStyle w:val="NormalnyWeb"/>
        <w:numPr>
          <w:ilvl w:val="0"/>
          <w:numId w:val="42"/>
        </w:numPr>
        <w:spacing w:after="198"/>
      </w:pPr>
      <w:r>
        <w:t xml:space="preserve">okablowania zasilającego, </w:t>
      </w:r>
    </w:p>
    <w:p w:rsidR="000C3B8D" w:rsidRDefault="000C3B8D" w:rsidP="000C3B8D">
      <w:pPr>
        <w:pStyle w:val="NormalnyWeb"/>
        <w:numPr>
          <w:ilvl w:val="0"/>
          <w:numId w:val="42"/>
        </w:numPr>
        <w:spacing w:after="198"/>
      </w:pPr>
      <w:r>
        <w:t>interfejsów oraz okablowania o długości min. 1m do łączenia urządzeń w stos,</w:t>
      </w:r>
    </w:p>
    <w:p w:rsidR="000C3B8D" w:rsidRDefault="000C3B8D" w:rsidP="000C3B8D">
      <w:pPr>
        <w:pStyle w:val="NormalnyWeb"/>
        <w:numPr>
          <w:ilvl w:val="0"/>
          <w:numId w:val="42"/>
        </w:numPr>
        <w:spacing w:after="198"/>
      </w:pPr>
      <w:r>
        <w:t>licencji umożliwiających realizację wyżej wymienionych funkcjonalności (w przypadku ograniczeń czasowych na okres min. 5 lat).</w:t>
      </w:r>
    </w:p>
    <w:p w:rsidR="000C3B8D" w:rsidRDefault="000C3B8D" w:rsidP="000C3B8D">
      <w:pPr>
        <w:pStyle w:val="NormalnyWeb"/>
        <w:numPr>
          <w:ilvl w:val="0"/>
          <w:numId w:val="42"/>
        </w:numPr>
        <w:spacing w:after="198"/>
      </w:pPr>
      <w:r>
        <w:t xml:space="preserve">Kompletu wkładek dla wszystkich portów SFP oraz SPF+, LC, SM, 1310 </w:t>
      </w:r>
      <w:proofErr w:type="spellStart"/>
      <w:r>
        <w:t>nm</w:t>
      </w:r>
      <w:proofErr w:type="spellEnd"/>
      <w:r>
        <w:t>, 10 km</w:t>
      </w:r>
    </w:p>
    <w:p w:rsidR="000C3B8D" w:rsidRDefault="000C3B8D" w:rsidP="000C3B8D">
      <w:pPr>
        <w:pStyle w:val="NormalnyWeb"/>
        <w:spacing w:after="240"/>
      </w:pPr>
    </w:p>
    <w:p w:rsidR="000C3B8D" w:rsidRDefault="000C3B8D" w:rsidP="000C3B8D">
      <w:pPr>
        <w:pStyle w:val="NormalnyWeb"/>
        <w:spacing w:after="198"/>
      </w:pPr>
      <w:r>
        <w:t xml:space="preserve">Wymagane cechy techniczne, jakościowe i funkcjonalne - Przełącznik dostępowy typ B - 8 portów </w:t>
      </w:r>
      <w:proofErr w:type="spellStart"/>
      <w:r>
        <w:t>PoE</w:t>
      </w:r>
      <w:proofErr w:type="spellEnd"/>
      <w:r>
        <w:t xml:space="preserve"> (przemysłowy)</w:t>
      </w:r>
    </w:p>
    <w:p w:rsidR="000C3B8D" w:rsidRDefault="000C3B8D" w:rsidP="000C3B8D">
      <w:pPr>
        <w:pStyle w:val="NormalnyWeb"/>
        <w:spacing w:after="198"/>
      </w:pPr>
      <w:r>
        <w:t>Wymagania podstawowe:</w:t>
      </w:r>
    </w:p>
    <w:p w:rsidR="000C3B8D" w:rsidRDefault="000C3B8D" w:rsidP="000C3B8D">
      <w:pPr>
        <w:pStyle w:val="NormalnyWeb"/>
        <w:numPr>
          <w:ilvl w:val="0"/>
          <w:numId w:val="43"/>
        </w:numPr>
        <w:spacing w:after="198"/>
      </w:pPr>
      <w:r>
        <w:t xml:space="preserve">Przełącznik do zastosowań przemysłowych, posiadający 8 portów Fast Ethernet (10/100 </w:t>
      </w:r>
      <w:proofErr w:type="spellStart"/>
      <w:r>
        <w:t>Mbps</w:t>
      </w:r>
      <w:proofErr w:type="spellEnd"/>
      <w:r>
        <w:t>) z negocjacją prędkości łącza, wykrywaniem przeplotu (MDI/MDI-X) oraz dodatkowo minimum 4 porty Gigabit Ethernet SFP</w:t>
      </w:r>
    </w:p>
    <w:p w:rsidR="000C3B8D" w:rsidRDefault="000C3B8D" w:rsidP="000C3B8D">
      <w:pPr>
        <w:pStyle w:val="NormalnyWeb"/>
        <w:numPr>
          <w:ilvl w:val="0"/>
          <w:numId w:val="43"/>
        </w:numPr>
        <w:spacing w:after="198"/>
      </w:pPr>
      <w:r>
        <w:t>Przełącznik musi obsługiwać optykę 1000BASE-SX, -LX, -ZX, -BX oraz 100BASE-LX10, -FX.</w:t>
      </w:r>
    </w:p>
    <w:p w:rsidR="000C3B8D" w:rsidRDefault="000C3B8D" w:rsidP="000C3B8D">
      <w:pPr>
        <w:pStyle w:val="NormalnyWeb"/>
        <w:numPr>
          <w:ilvl w:val="0"/>
          <w:numId w:val="43"/>
        </w:numPr>
        <w:spacing w:after="198"/>
      </w:pPr>
      <w:r>
        <w:t>Przełącznik musi być dostosowany do zastosowań w trudnych warunkach środowiska przemysłowego: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zgodność z klasyfikacją odporności na warunki zewnętrzne min. IP30,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zakres temperatur pracy od -40°C do 75°C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zakres dopuszczalnego poziomu wilgotności powietrza 5-95% RH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ochrona przeciwprzepięciowa do 15kV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 xml:space="preserve">ochrona zasilania typu </w:t>
      </w:r>
      <w:proofErr w:type="spellStart"/>
      <w:r>
        <w:t>reverse</w:t>
      </w:r>
      <w:proofErr w:type="spellEnd"/>
      <w:r>
        <w:t xml:space="preserve"> </w:t>
      </w:r>
      <w:proofErr w:type="spellStart"/>
      <w:r>
        <w:t>power</w:t>
      </w:r>
      <w:proofErr w:type="spellEnd"/>
      <w:r>
        <w:t xml:space="preserve"> </w:t>
      </w:r>
      <w:proofErr w:type="spellStart"/>
      <w:r>
        <w:t>protection</w:t>
      </w:r>
      <w:proofErr w:type="spellEnd"/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izolacja 1500 V RMS 1’</w:t>
      </w:r>
    </w:p>
    <w:p w:rsidR="000C3B8D" w:rsidRDefault="000C3B8D" w:rsidP="000C3B8D">
      <w:pPr>
        <w:pStyle w:val="NormalnyWeb"/>
        <w:numPr>
          <w:ilvl w:val="0"/>
          <w:numId w:val="44"/>
        </w:numPr>
        <w:spacing w:after="198"/>
      </w:pPr>
      <w:r>
        <w:t>możliwość montażu na szynie DIN oraz na ścianie;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  <w:rPr>
          <w:lang w:val="en-US"/>
        </w:rPr>
      </w:pPr>
      <w:proofErr w:type="spellStart"/>
      <w:r>
        <w:rPr>
          <w:lang w:val="en-US"/>
        </w:rPr>
        <w:t>Waga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przełącznika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poniżej</w:t>
      </w:r>
      <w:proofErr w:type="spellEnd"/>
      <w:r>
        <w:rPr>
          <w:lang w:val="en-US"/>
        </w:rPr>
        <w:t xml:space="preserve"> 1,5kg.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Przełącznik musi posiadać możliwość podłączenia do dwóch źródeł zasilania DC 12-58V. W ramach postępowania należy dostarczyć do każdej sztuki przełącznika jeden zasilacz 230VAC-48VDC o mocy minimum 240W z montażem na szynie DIN.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lastRenderedPageBreak/>
        <w:t xml:space="preserve">Przełącznik musi umożliwiać zasilanie podłączonych urządzeń zgodnie ze standardem IEEE 802.3af i IEEE 802.3at. Dostępny budżet mocy </w:t>
      </w:r>
      <w:proofErr w:type="spellStart"/>
      <w:r>
        <w:t>PoE</w:t>
      </w:r>
      <w:proofErr w:type="spellEnd"/>
      <w:r>
        <w:t xml:space="preserve"> musi wynosić minimum 240W co daje możliwość zasilania jednocześnie każdego portu z mocą do 30W.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Zasilanie </w:t>
      </w:r>
      <w:proofErr w:type="spellStart"/>
      <w:r>
        <w:t>PoE</w:t>
      </w:r>
      <w:proofErr w:type="spellEnd"/>
      <w:r>
        <w:t xml:space="preserve"> musi być możliwe do załączania zgodnie z konfigurowalnym harmonogramem obejmującym wybór dni tygodnia i zakres godzinowy z dokładnością do 30 minut.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Przełącznik musi być zgodny z </w:t>
      </w:r>
      <w:r w:rsidRPr="001E75D1">
        <w:t xml:space="preserve">Energy </w:t>
      </w:r>
      <w:proofErr w:type="spellStart"/>
      <w:r w:rsidRPr="001E75D1">
        <w:t>Efficient</w:t>
      </w:r>
      <w:proofErr w:type="spellEnd"/>
      <w:r w:rsidRPr="001E75D1">
        <w:t xml:space="preserve"> Ethernet IEEE 802.3az</w:t>
      </w:r>
      <w:r>
        <w:t>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Diagnostyka DDM i okablowania miedzianego.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Nieblokująca architektura o wydajności przełączania min. 9,6 </w:t>
      </w:r>
      <w:proofErr w:type="spellStart"/>
      <w:r>
        <w:t>Gb</w:t>
      </w:r>
      <w:proofErr w:type="spellEnd"/>
      <w:r>
        <w:t>/s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Szybkość przełączania min. 7 milionów pakietów na sekundę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Tablica adresów MAC min. 8000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Pamięć operacyjna: min. 128MB pamięci DRAM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Pamięć </w:t>
      </w:r>
      <w:proofErr w:type="spellStart"/>
      <w:r>
        <w:t>flash</w:t>
      </w:r>
      <w:proofErr w:type="spellEnd"/>
      <w:r>
        <w:t xml:space="preserve">: min. 16MB pamięci </w:t>
      </w:r>
      <w:proofErr w:type="spellStart"/>
      <w:r>
        <w:t>Flash</w:t>
      </w:r>
      <w:proofErr w:type="spellEnd"/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>Pojemność bufora pakietów min. 4MB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Obsługa sieci wirtualnych IEEE 802.1Q – min. 1024 jednoczesnych </w:t>
      </w:r>
      <w:proofErr w:type="spellStart"/>
      <w:r>
        <w:t>VLAN-ów</w:t>
      </w:r>
      <w:proofErr w:type="spellEnd"/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Wsparcie dla ramek </w:t>
      </w:r>
      <w:proofErr w:type="spellStart"/>
      <w:r>
        <w:t>Jumbo</w:t>
      </w:r>
      <w:proofErr w:type="spellEnd"/>
      <w:r>
        <w:t xml:space="preserve"> (min. 9000B)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IEEE 802.3x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Q-in-Q IEEE 802.1ad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Obsługa </w:t>
      </w:r>
      <w:proofErr w:type="spellStart"/>
      <w:r>
        <w:t>VLAN-ów</w:t>
      </w:r>
      <w:proofErr w:type="spellEnd"/>
      <w:r>
        <w:t xml:space="preserve"> </w:t>
      </w:r>
      <w:proofErr w:type="spellStart"/>
      <w:r>
        <w:t>protokołowych</w:t>
      </w:r>
      <w:proofErr w:type="spellEnd"/>
      <w:r>
        <w:t xml:space="preserve"> i </w:t>
      </w:r>
      <w:proofErr w:type="spellStart"/>
      <w:r>
        <w:t>MAC-based</w:t>
      </w:r>
      <w:proofErr w:type="spellEnd"/>
      <w:r>
        <w:t xml:space="preserve"> oraz </w:t>
      </w:r>
      <w:proofErr w:type="spellStart"/>
      <w:r>
        <w:t>subnet-based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GVRP.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Obsługa funkcjonalności </w:t>
      </w:r>
      <w:proofErr w:type="spellStart"/>
      <w:r>
        <w:t>Private</w:t>
      </w:r>
      <w:proofErr w:type="spellEnd"/>
      <w:r>
        <w:t xml:space="preserve"> VLAN - blokowanie ruchu pomiędzy klientami z umożliwieniem łączności do wspólnych zasobów sieci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</w:pPr>
      <w:r>
        <w:t xml:space="preserve">Obsługa mechanizmu </w:t>
      </w:r>
      <w:proofErr w:type="spellStart"/>
      <w:r>
        <w:t>Voice</w:t>
      </w:r>
      <w:proofErr w:type="spellEnd"/>
      <w:r>
        <w:t xml:space="preserve"> VLAN – dedykowany VLAN dla komunikacji telefonu </w:t>
      </w:r>
      <w:proofErr w:type="spellStart"/>
      <w:r>
        <w:t>VoIP</w:t>
      </w:r>
      <w:proofErr w:type="spellEnd"/>
      <w:r>
        <w:t xml:space="preserve"> podłączonego do portu przełącznika równolegle z innym urządzeniem, do którego ruch jest klasyfikowany w oparciu o LLDP lub OUI (lista definiowana przez administratora). Możliwość określenia priorytetu dla ruchu w obrębie </w:t>
      </w:r>
      <w:proofErr w:type="spellStart"/>
      <w:r>
        <w:t>Voice</w:t>
      </w:r>
      <w:proofErr w:type="spellEnd"/>
      <w:r>
        <w:t xml:space="preserve"> VLAN. Zabezpieczenia </w:t>
      </w:r>
      <w:proofErr w:type="spellStart"/>
      <w:r>
        <w:t>VLAN-u</w:t>
      </w:r>
      <w:proofErr w:type="spellEnd"/>
      <w:r>
        <w:t xml:space="preserve"> przeznaczonego dla głosu przez blokowanie adresów MAC z OUI niezawartych na liście urządzeń </w:t>
      </w:r>
      <w:proofErr w:type="spellStart"/>
      <w:r>
        <w:t>VoIP</w:t>
      </w:r>
      <w:proofErr w:type="spellEnd"/>
      <w:r>
        <w:t>.</w:t>
      </w:r>
    </w:p>
    <w:p w:rsidR="000C3B8D" w:rsidRDefault="000C3B8D" w:rsidP="000C3B8D">
      <w:pPr>
        <w:pStyle w:val="NormalnyWeb"/>
        <w:numPr>
          <w:ilvl w:val="0"/>
          <w:numId w:val="4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Quality of Service</w:t>
      </w:r>
    </w:p>
    <w:p w:rsidR="000C3B8D" w:rsidRDefault="000C3B8D" w:rsidP="000C3B8D">
      <w:pPr>
        <w:pStyle w:val="NormalnyWeb"/>
        <w:numPr>
          <w:ilvl w:val="0"/>
          <w:numId w:val="46"/>
        </w:numPr>
        <w:spacing w:after="198"/>
        <w:rPr>
          <w:lang w:val="en-US"/>
        </w:rPr>
      </w:pPr>
      <w:r>
        <w:rPr>
          <w:lang w:val="en-US"/>
        </w:rPr>
        <w:t>IEEE 802.1p</w:t>
      </w:r>
    </w:p>
    <w:p w:rsidR="000C3B8D" w:rsidRDefault="000C3B8D" w:rsidP="000C3B8D">
      <w:pPr>
        <w:pStyle w:val="NormalnyWeb"/>
        <w:numPr>
          <w:ilvl w:val="0"/>
          <w:numId w:val="46"/>
        </w:numPr>
        <w:spacing w:after="198"/>
      </w:pPr>
      <w:r>
        <w:t>DSCP</w:t>
      </w:r>
    </w:p>
    <w:p w:rsidR="000C3B8D" w:rsidRDefault="000C3B8D" w:rsidP="000C3B8D">
      <w:pPr>
        <w:pStyle w:val="NormalnyWeb"/>
        <w:numPr>
          <w:ilvl w:val="0"/>
          <w:numId w:val="46"/>
        </w:numPr>
        <w:spacing w:after="198"/>
      </w:pPr>
      <w:r>
        <w:t>8 kolejek priorytetów na każdym porcie wyjściowym</w:t>
      </w:r>
    </w:p>
    <w:p w:rsidR="000C3B8D" w:rsidRDefault="000C3B8D" w:rsidP="000C3B8D">
      <w:pPr>
        <w:pStyle w:val="NormalnyWeb"/>
        <w:numPr>
          <w:ilvl w:val="0"/>
          <w:numId w:val="46"/>
        </w:numPr>
        <w:spacing w:after="198"/>
      </w:pPr>
      <w:r>
        <w:t>Algorytmy min. SPQ i WRR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  <w:rPr>
          <w:lang w:val="en-US"/>
        </w:rPr>
      </w:pPr>
      <w:proofErr w:type="spellStart"/>
      <w:r>
        <w:rPr>
          <w:lang w:val="en-US"/>
        </w:rPr>
        <w:lastRenderedPageBreak/>
        <w:t>Obsługa</w:t>
      </w:r>
      <w:proofErr w:type="spellEnd"/>
      <w:r>
        <w:rPr>
          <w:lang w:val="en-US"/>
        </w:rPr>
        <w:t xml:space="preserve"> Link Layer Discovery Protocol LLDP IEEE 802.1AB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LLDP Media Endpoint Discovery (LLDP-MED) 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>Wbudowany DHCP serwer i klient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 xml:space="preserve">Możliwość instalacji min. dwóch wersji oprogramowania – </w:t>
      </w:r>
      <w:proofErr w:type="spellStart"/>
      <w:r>
        <w:t>firmware</w:t>
      </w:r>
      <w:proofErr w:type="spellEnd"/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 xml:space="preserve">Możliwość przechowywania min. kilkunastu wersji konfiguracji w plikach tekstowych w pamięci </w:t>
      </w:r>
      <w:proofErr w:type="spellStart"/>
      <w:r>
        <w:t>Flash</w:t>
      </w:r>
      <w:proofErr w:type="spellEnd"/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>Możliwość monitorowania zajętości CPU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>Lokalna możliwość monitoringu pakietów (Mirroring)</w:t>
      </w:r>
    </w:p>
    <w:p w:rsidR="000C3B8D" w:rsidRDefault="000C3B8D" w:rsidP="000C3B8D">
      <w:pPr>
        <w:pStyle w:val="NormalnyWeb"/>
        <w:numPr>
          <w:ilvl w:val="0"/>
          <w:numId w:val="47"/>
        </w:numPr>
        <w:spacing w:after="198"/>
      </w:pPr>
      <w:r>
        <w:t>Wbudowany dodatkowy port konsolowy RJ45 do zarządzania przełącznikiem</w:t>
      </w:r>
    </w:p>
    <w:p w:rsidR="000C3B8D" w:rsidRDefault="000C3B8D" w:rsidP="000C3B8D">
      <w:pPr>
        <w:pStyle w:val="NormalnyWeb"/>
        <w:spacing w:after="198"/>
      </w:pPr>
      <w:r>
        <w:t xml:space="preserve">Obsługa </w:t>
      </w:r>
      <w:proofErr w:type="spellStart"/>
      <w:r>
        <w:t>Multicastów</w:t>
      </w:r>
      <w:proofErr w:type="spellEnd"/>
      <w:r>
        <w:t>: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</w:pPr>
      <w:r>
        <w:t xml:space="preserve">Statyczne przyłączenie do grupy </w:t>
      </w:r>
      <w:proofErr w:type="spellStart"/>
      <w:r>
        <w:t>multicast</w:t>
      </w:r>
      <w:proofErr w:type="spellEnd"/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  <w:rPr>
          <w:lang w:val="en-US"/>
        </w:rPr>
      </w:pPr>
      <w:r>
        <w:rPr>
          <w:lang w:val="en-US"/>
        </w:rPr>
        <w:t xml:space="preserve">Min. 1000 </w:t>
      </w:r>
      <w:proofErr w:type="spellStart"/>
      <w:r>
        <w:rPr>
          <w:lang w:val="en-US"/>
        </w:rPr>
        <w:t>grup</w:t>
      </w:r>
      <w:proofErr w:type="spellEnd"/>
      <w:r>
        <w:rPr>
          <w:lang w:val="en-US"/>
        </w:rPr>
        <w:t xml:space="preserve"> multicast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  <w:rPr>
          <w:lang w:val="en-US"/>
        </w:rPr>
      </w:pPr>
      <w:proofErr w:type="spellStart"/>
      <w:r>
        <w:rPr>
          <w:lang w:val="en-US"/>
        </w:rPr>
        <w:t>Filtrowanie</w:t>
      </w:r>
      <w:proofErr w:type="spellEnd"/>
      <w:r>
        <w:rPr>
          <w:lang w:val="en-US"/>
        </w:rPr>
        <w:t xml:space="preserve"> IGMP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Multicast VLAN Registration – MVR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</w:pPr>
      <w:r>
        <w:t>Obsługa IGMP v1/v2/v3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IGMP v1/v2/v3 snooping </w:t>
      </w:r>
    </w:p>
    <w:p w:rsidR="000C3B8D" w:rsidRDefault="000C3B8D" w:rsidP="000C3B8D">
      <w:pPr>
        <w:pStyle w:val="NormalnyWeb"/>
        <w:numPr>
          <w:ilvl w:val="0"/>
          <w:numId w:val="48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MLD v1/v2 snooping</w:t>
      </w:r>
    </w:p>
    <w:p w:rsidR="000C3B8D" w:rsidRDefault="000C3B8D" w:rsidP="000C3B8D">
      <w:pPr>
        <w:pStyle w:val="NormalnyWeb"/>
        <w:spacing w:after="198"/>
      </w:pPr>
      <w:r>
        <w:t>Bezpieczeństwo:</w:t>
      </w:r>
    </w:p>
    <w:p w:rsidR="000C3B8D" w:rsidRDefault="000C3B8D" w:rsidP="000C3B8D">
      <w:pPr>
        <w:pStyle w:val="NormalnyWeb"/>
        <w:numPr>
          <w:ilvl w:val="0"/>
          <w:numId w:val="49"/>
        </w:numPr>
        <w:spacing w:after="198"/>
      </w:pPr>
      <w:r>
        <w:t>Obsługa uwierzytelniania na porcie</w:t>
      </w:r>
    </w:p>
    <w:p w:rsidR="000C3B8D" w:rsidRDefault="000C3B8D" w:rsidP="000C3B8D">
      <w:pPr>
        <w:pStyle w:val="NormalnyWeb"/>
        <w:numPr>
          <w:ilvl w:val="0"/>
          <w:numId w:val="50"/>
        </w:numPr>
        <w:spacing w:after="198"/>
      </w:pPr>
      <w:r>
        <w:t xml:space="preserve">IEEE 802.1X </w:t>
      </w:r>
    </w:p>
    <w:p w:rsidR="000C3B8D" w:rsidRDefault="000C3B8D" w:rsidP="000C3B8D">
      <w:pPr>
        <w:pStyle w:val="NormalnyWeb"/>
        <w:numPr>
          <w:ilvl w:val="0"/>
          <w:numId w:val="50"/>
        </w:numPr>
        <w:spacing w:after="198"/>
      </w:pPr>
      <w:r>
        <w:t>Uwierzytelnianie adresu MAC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</w:pPr>
      <w:r>
        <w:t>Obsługa wielu jednoczesnych sesji uwierzytelniania na jednym porcie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</w:pPr>
      <w:r>
        <w:t xml:space="preserve">Możliwość integracji uwierzytelniania z systemem NAC (Network Access </w:t>
      </w:r>
      <w:proofErr w:type="spellStart"/>
      <w:r>
        <w:t>Control</w:t>
      </w:r>
      <w:proofErr w:type="spellEnd"/>
      <w:r>
        <w:t>) – wsparcie min. dla RFC 3580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</w:pPr>
      <w:r>
        <w:t xml:space="preserve">Możliwość wymuszenia </w:t>
      </w:r>
      <w:proofErr w:type="spellStart"/>
      <w:r>
        <w:t>reautentykacji</w:t>
      </w:r>
      <w:proofErr w:type="spellEnd"/>
      <w:r>
        <w:t xml:space="preserve"> dołączonego klienta z systemu NAC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</w:pPr>
      <w:r>
        <w:t xml:space="preserve">Obsługa </w:t>
      </w:r>
      <w:proofErr w:type="spellStart"/>
      <w:r>
        <w:t>Guest</w:t>
      </w:r>
      <w:proofErr w:type="spellEnd"/>
      <w:r>
        <w:t xml:space="preserve"> VLAN dla IEEE 802.1X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RADIUS Authentication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RADIUS Accounting</w:t>
      </w:r>
    </w:p>
    <w:p w:rsidR="000C3B8D" w:rsidRDefault="000C3B8D" w:rsidP="000C3B8D">
      <w:pPr>
        <w:pStyle w:val="NormalnyWeb"/>
        <w:numPr>
          <w:ilvl w:val="0"/>
          <w:numId w:val="51"/>
        </w:numPr>
        <w:spacing w:after="198"/>
      </w:pPr>
      <w:r>
        <w:t>Bezpieczeństwo MAC adresów</w:t>
      </w:r>
    </w:p>
    <w:p w:rsidR="000C3B8D" w:rsidRDefault="000C3B8D" w:rsidP="000C3B8D">
      <w:pPr>
        <w:pStyle w:val="NormalnyWeb"/>
        <w:numPr>
          <w:ilvl w:val="0"/>
          <w:numId w:val="52"/>
        </w:numPr>
        <w:spacing w:after="198"/>
      </w:pPr>
      <w:r>
        <w:lastRenderedPageBreak/>
        <w:t>ograniczenie liczby MAC adresów na porcie</w:t>
      </w:r>
    </w:p>
    <w:p w:rsidR="000C3B8D" w:rsidRDefault="000C3B8D" w:rsidP="000C3B8D">
      <w:pPr>
        <w:pStyle w:val="NormalnyWeb"/>
        <w:numPr>
          <w:ilvl w:val="0"/>
          <w:numId w:val="52"/>
        </w:numPr>
        <w:spacing w:after="198"/>
      </w:pPr>
      <w:r>
        <w:t>możliwość wpisania statycznych MAC adresów na port/</w:t>
      </w:r>
      <w:proofErr w:type="spellStart"/>
      <w:r>
        <w:t>vlan</w:t>
      </w:r>
      <w:proofErr w:type="spellEnd"/>
    </w:p>
    <w:p w:rsidR="000C3B8D" w:rsidRDefault="000C3B8D" w:rsidP="000C3B8D">
      <w:pPr>
        <w:pStyle w:val="NormalnyWeb"/>
        <w:numPr>
          <w:ilvl w:val="0"/>
          <w:numId w:val="52"/>
        </w:numPr>
        <w:spacing w:after="198"/>
      </w:pPr>
      <w:r>
        <w:t>kontrola aktywności przechowywanych w tablicy adresów MAC (</w:t>
      </w:r>
      <w:proofErr w:type="spellStart"/>
      <w:r>
        <w:t>aging</w:t>
      </w:r>
      <w:proofErr w:type="spellEnd"/>
      <w:r>
        <w:t>)</w:t>
      </w:r>
    </w:p>
    <w:p w:rsidR="000C3B8D" w:rsidRDefault="000C3B8D" w:rsidP="000C3B8D">
      <w:pPr>
        <w:pStyle w:val="NormalnyWeb"/>
        <w:numPr>
          <w:ilvl w:val="0"/>
          <w:numId w:val="52"/>
        </w:numPr>
        <w:spacing w:after="198"/>
      </w:pPr>
      <w:r>
        <w:t>możliwość wyłączenia MAC learning</w:t>
      </w:r>
    </w:p>
    <w:p w:rsidR="000C3B8D" w:rsidRDefault="000C3B8D" w:rsidP="000C3B8D">
      <w:pPr>
        <w:pStyle w:val="NormalnyWeb"/>
        <w:numPr>
          <w:ilvl w:val="0"/>
          <w:numId w:val="53"/>
        </w:numPr>
        <w:spacing w:after="198"/>
      </w:pPr>
      <w:r>
        <w:t>Obsługa SNMPv1/v2/v3</w:t>
      </w:r>
    </w:p>
    <w:p w:rsidR="000C3B8D" w:rsidRDefault="000C3B8D" w:rsidP="000C3B8D">
      <w:pPr>
        <w:pStyle w:val="NormalnyWeb"/>
        <w:numPr>
          <w:ilvl w:val="0"/>
          <w:numId w:val="53"/>
        </w:numPr>
        <w:spacing w:after="198"/>
      </w:pPr>
      <w:r>
        <w:t>Obsługa SSHv2</w:t>
      </w:r>
    </w:p>
    <w:p w:rsidR="000C3B8D" w:rsidRDefault="000C3B8D" w:rsidP="000C3B8D">
      <w:pPr>
        <w:pStyle w:val="NormalnyWeb"/>
        <w:numPr>
          <w:ilvl w:val="0"/>
          <w:numId w:val="53"/>
        </w:numPr>
        <w:spacing w:after="198"/>
      </w:pPr>
      <w:r>
        <w:t>Listy kontroli dostępu ACL pracujące na warstwie 2, 3 i 4</w:t>
      </w:r>
    </w:p>
    <w:p w:rsidR="000C3B8D" w:rsidRDefault="000C3B8D" w:rsidP="000C3B8D">
      <w:pPr>
        <w:pStyle w:val="NormalnyWeb"/>
        <w:numPr>
          <w:ilvl w:val="0"/>
          <w:numId w:val="54"/>
        </w:numPr>
        <w:spacing w:after="198"/>
      </w:pPr>
      <w:r>
        <w:t xml:space="preserve">określenie kryterium </w:t>
      </w:r>
      <w:proofErr w:type="spellStart"/>
      <w:r>
        <w:t>Ethertype</w:t>
      </w:r>
      <w:proofErr w:type="spellEnd"/>
      <w:r>
        <w:t xml:space="preserve">, źródłowego adresu MAC, docelowego adresu MAC, ramek </w:t>
      </w:r>
      <w:proofErr w:type="spellStart"/>
      <w:r>
        <w:t>nietagowanych</w:t>
      </w:r>
      <w:proofErr w:type="spellEnd"/>
      <w:r>
        <w:t>/</w:t>
      </w:r>
      <w:proofErr w:type="spellStart"/>
      <w:r>
        <w:t>tagowanych</w:t>
      </w:r>
      <w:proofErr w:type="spellEnd"/>
      <w:r>
        <w:t xml:space="preserve"> 802.1Q (z możliwością określenia VID), typu ramki ARP, źródłowego adresu IP (z maską lub jednoznaczny), docelowego adresu IP (z maską lub jednoznaczny), protokołu IP, TTL, kodu ICMP, portu/zakresu portów TCP/UDP źródłowego i docelowego, wartości TCP SYN </w:t>
      </w:r>
    </w:p>
    <w:p w:rsidR="000C3B8D" w:rsidRDefault="000C3B8D" w:rsidP="000C3B8D">
      <w:pPr>
        <w:pStyle w:val="NormalnyWeb"/>
        <w:numPr>
          <w:ilvl w:val="0"/>
          <w:numId w:val="54"/>
        </w:numPr>
        <w:spacing w:after="198"/>
      </w:pPr>
      <w:r>
        <w:t xml:space="preserve">określenie akcji na zgodność ramki z filtrem: </w:t>
      </w:r>
      <w:proofErr w:type="spellStart"/>
      <w:r>
        <w:t>permit</w:t>
      </w:r>
      <w:proofErr w:type="spellEnd"/>
      <w:r>
        <w:t xml:space="preserve">, </w:t>
      </w:r>
      <w:proofErr w:type="spellStart"/>
      <w:r>
        <w:t>deny</w:t>
      </w:r>
      <w:proofErr w:type="spellEnd"/>
      <w:r>
        <w:t xml:space="preserve">, </w:t>
      </w:r>
      <w:proofErr w:type="spellStart"/>
      <w:r>
        <w:t>filter</w:t>
      </w:r>
      <w:proofErr w:type="spellEnd"/>
      <w:r>
        <w:t xml:space="preserve">, </w:t>
      </w:r>
      <w:proofErr w:type="spellStart"/>
      <w:r>
        <w:t>rate</w:t>
      </w:r>
      <w:proofErr w:type="spellEnd"/>
      <w:r>
        <w:t xml:space="preserve"> limit, </w:t>
      </w:r>
      <w:proofErr w:type="spellStart"/>
      <w:r>
        <w:t>redirect</w:t>
      </w:r>
      <w:proofErr w:type="spellEnd"/>
      <w:r>
        <w:t xml:space="preserve">, mirror, log, </w:t>
      </w:r>
      <w:proofErr w:type="spellStart"/>
      <w:r>
        <w:t>shutdown</w:t>
      </w:r>
      <w:proofErr w:type="spellEnd"/>
      <w:r>
        <w:t>, zliczanie liczby trafień w regułę</w:t>
      </w:r>
    </w:p>
    <w:p w:rsidR="000C3B8D" w:rsidRDefault="000C3B8D" w:rsidP="000C3B8D">
      <w:pPr>
        <w:pStyle w:val="NormalnyWeb"/>
        <w:numPr>
          <w:ilvl w:val="0"/>
          <w:numId w:val="54"/>
        </w:numPr>
        <w:spacing w:after="198"/>
      </w:pPr>
      <w:r>
        <w:t>możliwość określenia ACL domyślnych na porcie (podane wyżej akcje na dowolną ramkę niezgodną z żadną zdefiniowaną regułą ACL)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</w:pPr>
      <w:r>
        <w:t>Obsługa transferu plików TFTP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</w:pPr>
      <w:r>
        <w:t xml:space="preserve">Obsługa DHCP </w:t>
      </w:r>
      <w:proofErr w:type="spellStart"/>
      <w:r>
        <w:t>Option</w:t>
      </w:r>
      <w:proofErr w:type="spellEnd"/>
      <w:r>
        <w:t xml:space="preserve"> 82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Dynamic ARP Inspection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IP Source Guard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DHCP Relay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DHCP Snooping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Loop Protection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Unicast</w:t>
      </w:r>
      <w:proofErr w:type="spellEnd"/>
      <w:r>
        <w:rPr>
          <w:lang w:val="en-US"/>
        </w:rPr>
        <w:t>/Multicast/Broadcast Storm Control</w:t>
      </w:r>
    </w:p>
    <w:p w:rsidR="000C3B8D" w:rsidRDefault="000C3B8D" w:rsidP="000C3B8D">
      <w:pPr>
        <w:pStyle w:val="NormalnyWeb"/>
        <w:numPr>
          <w:ilvl w:val="0"/>
          <w:numId w:val="55"/>
        </w:numPr>
        <w:spacing w:after="198"/>
      </w:pPr>
      <w:r>
        <w:t>Ograniczanie przepustowości (</w:t>
      </w:r>
      <w:proofErr w:type="spellStart"/>
      <w:r>
        <w:t>rate</w:t>
      </w:r>
      <w:proofErr w:type="spellEnd"/>
      <w:r>
        <w:t xml:space="preserve"> </w:t>
      </w:r>
      <w:proofErr w:type="spellStart"/>
      <w:r>
        <w:t>limiting</w:t>
      </w:r>
      <w:proofErr w:type="spellEnd"/>
      <w:r>
        <w:t xml:space="preserve">) na portach wyjściowych z kwantem </w:t>
      </w:r>
      <w:proofErr w:type="spellStart"/>
      <w:r>
        <w:t>max</w:t>
      </w:r>
      <w:proofErr w:type="spellEnd"/>
      <w:r>
        <w:t xml:space="preserve">. 100 </w:t>
      </w:r>
      <w:proofErr w:type="spellStart"/>
      <w:r>
        <w:t>kb</w:t>
      </w:r>
      <w:proofErr w:type="spellEnd"/>
      <w:r>
        <w:t xml:space="preserve">/s </w:t>
      </w:r>
    </w:p>
    <w:p w:rsidR="000C3B8D" w:rsidRDefault="000C3B8D" w:rsidP="000C3B8D">
      <w:pPr>
        <w:pStyle w:val="NormalnyWeb"/>
        <w:spacing w:after="198"/>
      </w:pPr>
      <w:r>
        <w:t>Bezpieczeństwo sieciowe:</w:t>
      </w:r>
    </w:p>
    <w:p w:rsidR="000C3B8D" w:rsidRDefault="000C3B8D" w:rsidP="000C3B8D">
      <w:pPr>
        <w:pStyle w:val="NormalnyWeb"/>
        <w:numPr>
          <w:ilvl w:val="0"/>
          <w:numId w:val="56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STP (Spinning Tree Protocol) IEEE 802.1D</w:t>
      </w:r>
    </w:p>
    <w:p w:rsidR="000C3B8D" w:rsidRDefault="000C3B8D" w:rsidP="000C3B8D">
      <w:pPr>
        <w:pStyle w:val="NormalnyWeb"/>
        <w:numPr>
          <w:ilvl w:val="0"/>
          <w:numId w:val="56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RSTP (Rapid Spanning Tree Protocol) IEEE 802.1w</w:t>
      </w:r>
    </w:p>
    <w:p w:rsidR="000C3B8D" w:rsidRDefault="000C3B8D" w:rsidP="000C3B8D">
      <w:pPr>
        <w:pStyle w:val="NormalnyWeb"/>
        <w:numPr>
          <w:ilvl w:val="0"/>
          <w:numId w:val="56"/>
        </w:numPr>
        <w:spacing w:after="198"/>
      </w:pPr>
      <w:r>
        <w:t>Obsługa MSTP (</w:t>
      </w:r>
      <w:proofErr w:type="spellStart"/>
      <w:r>
        <w:t>Multiple</w:t>
      </w:r>
      <w:proofErr w:type="spellEnd"/>
      <w:r>
        <w:t xml:space="preserve"> </w:t>
      </w:r>
      <w:proofErr w:type="spellStart"/>
      <w:r>
        <w:t>Spanning</w:t>
      </w:r>
      <w:proofErr w:type="spellEnd"/>
      <w:r>
        <w:t xml:space="preserve"> </w:t>
      </w:r>
      <w:proofErr w:type="spellStart"/>
      <w:r>
        <w:t>Tree</w:t>
      </w:r>
      <w:proofErr w:type="spellEnd"/>
      <w:r>
        <w:t xml:space="preserve"> </w:t>
      </w:r>
      <w:proofErr w:type="spellStart"/>
      <w:r>
        <w:t>Protocol</w:t>
      </w:r>
      <w:proofErr w:type="spellEnd"/>
      <w:r>
        <w:t>) IEEE 802.1s – min. 8 instancji drzewa rozpinającego</w:t>
      </w:r>
    </w:p>
    <w:p w:rsidR="000C3B8D" w:rsidRDefault="000C3B8D" w:rsidP="000C3B8D">
      <w:pPr>
        <w:pStyle w:val="NormalnyWeb"/>
        <w:numPr>
          <w:ilvl w:val="0"/>
          <w:numId w:val="56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G.8032 (ERPS)</w:t>
      </w:r>
    </w:p>
    <w:p w:rsidR="000C3B8D" w:rsidRDefault="000C3B8D" w:rsidP="000C3B8D">
      <w:pPr>
        <w:pStyle w:val="NormalnyWeb"/>
        <w:numPr>
          <w:ilvl w:val="0"/>
          <w:numId w:val="56"/>
        </w:numPr>
        <w:spacing w:after="198"/>
        <w:rPr>
          <w:lang w:val="en-US"/>
        </w:rPr>
      </w:pPr>
      <w:proofErr w:type="spellStart"/>
      <w:r>
        <w:rPr>
          <w:lang w:val="en-US"/>
        </w:rPr>
        <w:lastRenderedPageBreak/>
        <w:t>Obsługa</w:t>
      </w:r>
      <w:proofErr w:type="spellEnd"/>
      <w:r>
        <w:rPr>
          <w:lang w:val="en-US"/>
        </w:rPr>
        <w:t xml:space="preserve"> Link Aggregation IEEE 802.3ad </w:t>
      </w:r>
      <w:proofErr w:type="spellStart"/>
      <w:r>
        <w:rPr>
          <w:lang w:val="en-US"/>
        </w:rPr>
        <w:t>wraz</w:t>
      </w:r>
      <w:proofErr w:type="spellEnd"/>
      <w:r>
        <w:rPr>
          <w:lang w:val="en-US"/>
        </w:rPr>
        <w:t xml:space="preserve"> z LACP </w:t>
      </w:r>
    </w:p>
    <w:p w:rsidR="000C3B8D" w:rsidRDefault="000C3B8D" w:rsidP="000C3B8D">
      <w:pPr>
        <w:pStyle w:val="NormalnyWeb"/>
        <w:spacing w:after="198"/>
      </w:pPr>
      <w:r>
        <w:t>Zarządzanie: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Obsługa synchronizacji czasu NTP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Zarządzanie przez SNMP v1/v2/v3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Zarządzanie przez przeglądarkę WWW – HTTPS – pozwalające na konfigurację i monitoring funkcjonowania przełącznika w pełnym zakresie udostępnianych przez niego mechanizmów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Telnet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SSHv2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>Ping dla IPv4 / IPv6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</w:pPr>
      <w:r>
        <w:t xml:space="preserve">Obsługa </w:t>
      </w:r>
      <w:proofErr w:type="spellStart"/>
      <w:r>
        <w:t>Syslog</w:t>
      </w:r>
      <w:proofErr w:type="spellEnd"/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sFlow</w:t>
      </w:r>
      <w:proofErr w:type="spellEnd"/>
      <w:r>
        <w:rPr>
          <w:lang w:val="en-US"/>
        </w:rPr>
        <w:t xml:space="preserve"> </w:t>
      </w:r>
    </w:p>
    <w:p w:rsidR="000C3B8D" w:rsidRDefault="000C3B8D" w:rsidP="000C3B8D">
      <w:pPr>
        <w:pStyle w:val="NormalnyWeb"/>
        <w:numPr>
          <w:ilvl w:val="0"/>
          <w:numId w:val="57"/>
        </w:numPr>
        <w:spacing w:after="198"/>
        <w:rPr>
          <w:lang w:val="en-US"/>
        </w:rPr>
      </w:pPr>
      <w:proofErr w:type="spellStart"/>
      <w:r>
        <w:rPr>
          <w:lang w:val="en-US"/>
        </w:rPr>
        <w:t>Obsługa</w:t>
      </w:r>
      <w:proofErr w:type="spellEnd"/>
      <w:r>
        <w:rPr>
          <w:lang w:val="en-US"/>
        </w:rPr>
        <w:t xml:space="preserve"> RMON min. 4 </w:t>
      </w:r>
      <w:proofErr w:type="spellStart"/>
      <w:r>
        <w:rPr>
          <w:lang w:val="en-US"/>
        </w:rPr>
        <w:t>grupy</w:t>
      </w:r>
      <w:proofErr w:type="spellEnd"/>
      <w:r>
        <w:rPr>
          <w:lang w:val="en-US"/>
        </w:rPr>
        <w:t>: Status, History, Alarms, Events (RFC 2819)</w:t>
      </w:r>
    </w:p>
    <w:p w:rsidR="000C3B8D" w:rsidRDefault="000C3B8D" w:rsidP="000C3B8D">
      <w:pPr>
        <w:pStyle w:val="NormalnyWeb"/>
        <w:spacing w:after="198"/>
      </w:pPr>
      <w:r>
        <w:t>Wyposażenie dodatkowe:</w:t>
      </w:r>
    </w:p>
    <w:p w:rsidR="000C3B8D" w:rsidRDefault="000C3B8D" w:rsidP="000C3B8D">
      <w:pPr>
        <w:pStyle w:val="NormalnyWeb"/>
        <w:spacing w:after="198"/>
      </w:pPr>
      <w:r>
        <w:t xml:space="preserve">Wraz z przełącznikiem wymagane jest dostarczenie: </w:t>
      </w:r>
    </w:p>
    <w:p w:rsidR="000C3B8D" w:rsidRDefault="000C3B8D" w:rsidP="000C3B8D">
      <w:pPr>
        <w:pStyle w:val="NormalnyWeb"/>
        <w:numPr>
          <w:ilvl w:val="0"/>
          <w:numId w:val="58"/>
        </w:numPr>
        <w:spacing w:after="198"/>
      </w:pPr>
      <w:r>
        <w:t xml:space="preserve">okablowania zasilającego, </w:t>
      </w:r>
    </w:p>
    <w:p w:rsidR="000C3B8D" w:rsidRDefault="000C3B8D" w:rsidP="000C3B8D">
      <w:pPr>
        <w:pStyle w:val="NormalnyWeb"/>
        <w:numPr>
          <w:ilvl w:val="0"/>
          <w:numId w:val="58"/>
        </w:numPr>
        <w:spacing w:after="198"/>
      </w:pPr>
      <w:r>
        <w:t xml:space="preserve">dwóch wkładek dla portów SFP, LC, SM, 1310 </w:t>
      </w:r>
      <w:proofErr w:type="spellStart"/>
      <w:r>
        <w:t>nm</w:t>
      </w:r>
      <w:proofErr w:type="spellEnd"/>
      <w:r>
        <w:t>, 10 km</w:t>
      </w:r>
    </w:p>
    <w:p w:rsidR="000C3B8D" w:rsidRDefault="000C3B8D" w:rsidP="000C3B8D">
      <w:pPr>
        <w:pStyle w:val="NormalnyWeb"/>
        <w:spacing w:after="198"/>
      </w:pPr>
      <w:r>
        <w:t>Inne:</w:t>
      </w:r>
    </w:p>
    <w:p w:rsidR="000C3B8D" w:rsidRDefault="000C3B8D" w:rsidP="000C3B8D">
      <w:pPr>
        <w:pStyle w:val="NormalnyWeb"/>
        <w:spacing w:after="198"/>
      </w:pPr>
      <w:r>
        <w:t>Zgodność z normami i standardami:</w:t>
      </w:r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</w:pPr>
      <w:proofErr w:type="spellStart"/>
      <w:r>
        <w:t>RoHS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</w:pPr>
      <w:r>
        <w:t>Dyrektywa 2004/108/EC</w:t>
      </w:r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</w:pPr>
      <w:r>
        <w:t>EN 61000-6-2:2005 lub równoważna</w:t>
      </w:r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EN 61000-6-4:2007 +A1:2011 </w:t>
      </w:r>
      <w:r>
        <w:t>lub równoważna</w:t>
      </w:r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>CISPR 22: 2006 Ed 5.2, Class A (International Emissions)</w:t>
      </w:r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>CISPR 24:A2:2003 Class A (International Immunity)</w:t>
      </w:r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 61000-4-2:2008/EN 61000-4-2:2009 Electrostatic Discharge, 6kV Contact, 8kV Air, Criteria B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 61000-4-3:2008/EN 61000-4-3:2006+A1:2008 Radiated Immunity 20V/m, Criteria A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lastRenderedPageBreak/>
        <w:t xml:space="preserve">IEC 61000-4-4:2004 am1 ed.2./EN 61000-4-4:2004/A1:2010 Transient Burst, 4 kV, Criteria A </w:t>
      </w:r>
      <w:r>
        <w:t>lub równoważna</w:t>
      </w:r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 61000-4-5:2005 /EN 61000-4-5:2006 Surge, 1kV DC Input, 2kV Ethernet Ports Criteria B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 61000-4-6:2008/EN 61000-4-6:2009 Conducted Immunity, 0.15-80 MHz, 10V RMS, Criteria A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IEC/EN 61000-4-8:2009 Power Frequency Magnetic Field Immunity, 300 A/m, Criteria A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0C3B8D" w:rsidRDefault="000C3B8D" w:rsidP="000C3B8D">
      <w:pPr>
        <w:pStyle w:val="NormalnyWeb"/>
        <w:numPr>
          <w:ilvl w:val="1"/>
          <w:numId w:val="59"/>
        </w:numPr>
        <w:spacing w:after="198"/>
        <w:rPr>
          <w:lang w:val="en-US"/>
        </w:rPr>
      </w:pPr>
      <w:r>
        <w:rPr>
          <w:lang w:val="en-US"/>
        </w:rPr>
        <w:t xml:space="preserve">IEC/EN 61000-4-9:1993 +A1:2001 Pulsed Magnetic Field Immunity, 300 A/m, Criteria A </w:t>
      </w:r>
      <w:proofErr w:type="spellStart"/>
      <w:r w:rsidRPr="009047F7">
        <w:rPr>
          <w:lang w:val="en-US"/>
        </w:rPr>
        <w:t>lub</w:t>
      </w:r>
      <w:proofErr w:type="spellEnd"/>
      <w:r w:rsidRPr="009047F7">
        <w:rPr>
          <w:lang w:val="en-US"/>
        </w:rPr>
        <w:t xml:space="preserve"> </w:t>
      </w:r>
      <w:proofErr w:type="spellStart"/>
      <w:r w:rsidRPr="009047F7">
        <w:rPr>
          <w:lang w:val="en-US"/>
        </w:rPr>
        <w:t>równoważna</w:t>
      </w:r>
      <w:proofErr w:type="spellEnd"/>
    </w:p>
    <w:p w:rsidR="00A70A54" w:rsidRPr="000C3B8D" w:rsidRDefault="00A70A54">
      <w:pPr>
        <w:rPr>
          <w:lang w:val="en-US"/>
        </w:rPr>
      </w:pPr>
    </w:p>
    <w:sectPr w:rsidR="00A70A54" w:rsidRPr="000C3B8D" w:rsidSect="00A70A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14165"/>
    <w:multiLevelType w:val="multilevel"/>
    <w:tmpl w:val="E8CECA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1D1D79"/>
    <w:multiLevelType w:val="multilevel"/>
    <w:tmpl w:val="B5C6150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D81162"/>
    <w:multiLevelType w:val="multilevel"/>
    <w:tmpl w:val="25521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AC5C1D"/>
    <w:multiLevelType w:val="multilevel"/>
    <w:tmpl w:val="0F3AA4A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ED198A"/>
    <w:multiLevelType w:val="multilevel"/>
    <w:tmpl w:val="F5321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0D1FEF"/>
    <w:multiLevelType w:val="multilevel"/>
    <w:tmpl w:val="8CC04D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1A001A"/>
    <w:multiLevelType w:val="multilevel"/>
    <w:tmpl w:val="0D68C16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791A53"/>
    <w:multiLevelType w:val="multilevel"/>
    <w:tmpl w:val="29BC8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3E2895"/>
    <w:multiLevelType w:val="multilevel"/>
    <w:tmpl w:val="3F88C2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7A4275"/>
    <w:multiLevelType w:val="multilevel"/>
    <w:tmpl w:val="6BA618D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7B4D28"/>
    <w:multiLevelType w:val="multilevel"/>
    <w:tmpl w:val="7B8E6E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317017"/>
    <w:multiLevelType w:val="multilevel"/>
    <w:tmpl w:val="C8B8B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C6F078C"/>
    <w:multiLevelType w:val="multilevel"/>
    <w:tmpl w:val="6B04D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D2437FE"/>
    <w:multiLevelType w:val="multilevel"/>
    <w:tmpl w:val="7BC46D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844ACB"/>
    <w:multiLevelType w:val="multilevel"/>
    <w:tmpl w:val="2DF0C7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AB51E63"/>
    <w:multiLevelType w:val="multilevel"/>
    <w:tmpl w:val="E09074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D5A086B"/>
    <w:multiLevelType w:val="multilevel"/>
    <w:tmpl w:val="65886B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222C22"/>
    <w:multiLevelType w:val="multilevel"/>
    <w:tmpl w:val="AEF0D00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252200B"/>
    <w:multiLevelType w:val="multilevel"/>
    <w:tmpl w:val="1D48B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6208AA"/>
    <w:multiLevelType w:val="multilevel"/>
    <w:tmpl w:val="39D85E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2CD3054"/>
    <w:multiLevelType w:val="multilevel"/>
    <w:tmpl w:val="AC76A9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3114668"/>
    <w:multiLevelType w:val="multilevel"/>
    <w:tmpl w:val="B3EC11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A15111"/>
    <w:multiLevelType w:val="multilevel"/>
    <w:tmpl w:val="81EE2D3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9B36CA"/>
    <w:multiLevelType w:val="multilevel"/>
    <w:tmpl w:val="35100D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6A5194E"/>
    <w:multiLevelType w:val="multilevel"/>
    <w:tmpl w:val="DDFEDD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79176AC"/>
    <w:multiLevelType w:val="multilevel"/>
    <w:tmpl w:val="D5280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53796A"/>
    <w:multiLevelType w:val="multilevel"/>
    <w:tmpl w:val="6DDAC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ABB5A9E"/>
    <w:multiLevelType w:val="multilevel"/>
    <w:tmpl w:val="4FE6A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B765364"/>
    <w:multiLevelType w:val="multilevel"/>
    <w:tmpl w:val="ECD06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C6C3FFF"/>
    <w:multiLevelType w:val="multilevel"/>
    <w:tmpl w:val="CA4A3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F915F7C"/>
    <w:multiLevelType w:val="multilevel"/>
    <w:tmpl w:val="BB52CE9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1A0726"/>
    <w:multiLevelType w:val="multilevel"/>
    <w:tmpl w:val="FD7E66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31F4958"/>
    <w:multiLevelType w:val="multilevel"/>
    <w:tmpl w:val="FAB229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3E03CC6"/>
    <w:multiLevelType w:val="multilevel"/>
    <w:tmpl w:val="8C66C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4B7661D"/>
    <w:multiLevelType w:val="multilevel"/>
    <w:tmpl w:val="4BDEE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6F157DC"/>
    <w:multiLevelType w:val="multilevel"/>
    <w:tmpl w:val="BC602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77F217F"/>
    <w:multiLevelType w:val="multilevel"/>
    <w:tmpl w:val="892622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9644492"/>
    <w:multiLevelType w:val="multilevel"/>
    <w:tmpl w:val="8DF45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4B4C598C"/>
    <w:multiLevelType w:val="multilevel"/>
    <w:tmpl w:val="510EE91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4DE7548B"/>
    <w:multiLevelType w:val="multilevel"/>
    <w:tmpl w:val="3CB8B3C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4EDC0553"/>
    <w:multiLevelType w:val="multilevel"/>
    <w:tmpl w:val="D4F8C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4F0A03AE"/>
    <w:multiLevelType w:val="multilevel"/>
    <w:tmpl w:val="CA78194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5A44E0F"/>
    <w:multiLevelType w:val="multilevel"/>
    <w:tmpl w:val="CD583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62D3AD0"/>
    <w:multiLevelType w:val="multilevel"/>
    <w:tmpl w:val="F600F9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6EF49A5"/>
    <w:multiLevelType w:val="multilevel"/>
    <w:tmpl w:val="E716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5809222B"/>
    <w:multiLevelType w:val="multilevel"/>
    <w:tmpl w:val="A13C2B3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6">
    <w:nsid w:val="58352A7A"/>
    <w:multiLevelType w:val="multilevel"/>
    <w:tmpl w:val="B0D8F8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8AA3F74"/>
    <w:multiLevelType w:val="multilevel"/>
    <w:tmpl w:val="326A9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9606F90"/>
    <w:multiLevelType w:val="multilevel"/>
    <w:tmpl w:val="FA02C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9AD7C73"/>
    <w:multiLevelType w:val="multilevel"/>
    <w:tmpl w:val="1A2691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5A1D568E"/>
    <w:multiLevelType w:val="multilevel"/>
    <w:tmpl w:val="9ECA4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61B53022"/>
    <w:multiLevelType w:val="multilevel"/>
    <w:tmpl w:val="7D128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47C3FF2"/>
    <w:multiLevelType w:val="multilevel"/>
    <w:tmpl w:val="F4E492A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7142F82"/>
    <w:multiLevelType w:val="multilevel"/>
    <w:tmpl w:val="9500C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6C5C6517"/>
    <w:multiLevelType w:val="multilevel"/>
    <w:tmpl w:val="DF0C9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CC9364A"/>
    <w:multiLevelType w:val="multilevel"/>
    <w:tmpl w:val="E71CD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6D1E72E6"/>
    <w:multiLevelType w:val="multilevel"/>
    <w:tmpl w:val="657A7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0257B85"/>
    <w:multiLevelType w:val="multilevel"/>
    <w:tmpl w:val="E63889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16F733F"/>
    <w:multiLevelType w:val="multilevel"/>
    <w:tmpl w:val="263886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9411848"/>
    <w:multiLevelType w:val="multilevel"/>
    <w:tmpl w:val="6C36E2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8"/>
  </w:num>
  <w:num w:numId="2">
    <w:abstractNumId w:val="12"/>
  </w:num>
  <w:num w:numId="3">
    <w:abstractNumId w:val="53"/>
  </w:num>
  <w:num w:numId="4">
    <w:abstractNumId w:val="27"/>
  </w:num>
  <w:num w:numId="5">
    <w:abstractNumId w:val="42"/>
  </w:num>
  <w:num w:numId="6">
    <w:abstractNumId w:val="19"/>
  </w:num>
  <w:num w:numId="7">
    <w:abstractNumId w:val="31"/>
  </w:num>
  <w:num w:numId="8">
    <w:abstractNumId w:val="16"/>
  </w:num>
  <w:num w:numId="9">
    <w:abstractNumId w:val="46"/>
  </w:num>
  <w:num w:numId="10">
    <w:abstractNumId w:val="10"/>
  </w:num>
  <w:num w:numId="11">
    <w:abstractNumId w:val="7"/>
  </w:num>
  <w:num w:numId="12">
    <w:abstractNumId w:val="14"/>
  </w:num>
  <w:num w:numId="13">
    <w:abstractNumId w:val="32"/>
  </w:num>
  <w:num w:numId="14">
    <w:abstractNumId w:val="37"/>
  </w:num>
  <w:num w:numId="15">
    <w:abstractNumId w:val="30"/>
  </w:num>
  <w:num w:numId="16">
    <w:abstractNumId w:val="33"/>
  </w:num>
  <w:num w:numId="17">
    <w:abstractNumId w:val="15"/>
  </w:num>
  <w:num w:numId="18">
    <w:abstractNumId w:val="17"/>
  </w:num>
  <w:num w:numId="19">
    <w:abstractNumId w:val="34"/>
  </w:num>
  <w:num w:numId="20">
    <w:abstractNumId w:val="1"/>
  </w:num>
  <w:num w:numId="21">
    <w:abstractNumId w:val="25"/>
  </w:num>
  <w:num w:numId="22">
    <w:abstractNumId w:val="39"/>
  </w:num>
  <w:num w:numId="23">
    <w:abstractNumId w:val="55"/>
  </w:num>
  <w:num w:numId="24">
    <w:abstractNumId w:val="38"/>
  </w:num>
  <w:num w:numId="25">
    <w:abstractNumId w:val="50"/>
  </w:num>
  <w:num w:numId="26">
    <w:abstractNumId w:val="44"/>
  </w:num>
  <w:num w:numId="27">
    <w:abstractNumId w:val="18"/>
  </w:num>
  <w:num w:numId="28">
    <w:abstractNumId w:val="22"/>
  </w:num>
  <w:num w:numId="29">
    <w:abstractNumId w:val="54"/>
  </w:num>
  <w:num w:numId="30">
    <w:abstractNumId w:val="56"/>
  </w:num>
  <w:num w:numId="31">
    <w:abstractNumId w:val="35"/>
  </w:num>
  <w:num w:numId="32">
    <w:abstractNumId w:val="52"/>
  </w:num>
  <w:num w:numId="33">
    <w:abstractNumId w:val="40"/>
  </w:num>
  <w:num w:numId="34">
    <w:abstractNumId w:val="51"/>
  </w:num>
  <w:num w:numId="35">
    <w:abstractNumId w:val="24"/>
  </w:num>
  <w:num w:numId="36">
    <w:abstractNumId w:val="2"/>
  </w:num>
  <w:num w:numId="37">
    <w:abstractNumId w:val="23"/>
  </w:num>
  <w:num w:numId="38">
    <w:abstractNumId w:val="57"/>
  </w:num>
  <w:num w:numId="39">
    <w:abstractNumId w:val="4"/>
  </w:num>
  <w:num w:numId="40">
    <w:abstractNumId w:val="47"/>
  </w:num>
  <w:num w:numId="41">
    <w:abstractNumId w:val="43"/>
  </w:num>
  <w:num w:numId="42">
    <w:abstractNumId w:val="36"/>
  </w:num>
  <w:num w:numId="43">
    <w:abstractNumId w:val="20"/>
  </w:num>
  <w:num w:numId="44">
    <w:abstractNumId w:val="21"/>
  </w:num>
  <w:num w:numId="45">
    <w:abstractNumId w:val="8"/>
  </w:num>
  <w:num w:numId="46">
    <w:abstractNumId w:val="5"/>
  </w:num>
  <w:num w:numId="47">
    <w:abstractNumId w:val="41"/>
  </w:num>
  <w:num w:numId="48">
    <w:abstractNumId w:val="29"/>
  </w:num>
  <w:num w:numId="49">
    <w:abstractNumId w:val="28"/>
  </w:num>
  <w:num w:numId="50">
    <w:abstractNumId w:val="49"/>
  </w:num>
  <w:num w:numId="51">
    <w:abstractNumId w:val="9"/>
  </w:num>
  <w:num w:numId="52">
    <w:abstractNumId w:val="0"/>
  </w:num>
  <w:num w:numId="53">
    <w:abstractNumId w:val="59"/>
  </w:num>
  <w:num w:numId="54">
    <w:abstractNumId w:val="58"/>
  </w:num>
  <w:num w:numId="55">
    <w:abstractNumId w:val="6"/>
  </w:num>
  <w:num w:numId="56">
    <w:abstractNumId w:val="26"/>
  </w:num>
  <w:num w:numId="57">
    <w:abstractNumId w:val="11"/>
  </w:num>
  <w:num w:numId="58">
    <w:abstractNumId w:val="3"/>
  </w:num>
  <w:num w:numId="59">
    <w:abstractNumId w:val="13"/>
  </w:num>
  <w:num w:numId="60">
    <w:abstractNumId w:val="45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71FA8"/>
    <w:rsid w:val="000268B2"/>
    <w:rsid w:val="00033ACB"/>
    <w:rsid w:val="000C3B8D"/>
    <w:rsid w:val="001F551C"/>
    <w:rsid w:val="002017B1"/>
    <w:rsid w:val="002D36EF"/>
    <w:rsid w:val="003306CB"/>
    <w:rsid w:val="003A5B22"/>
    <w:rsid w:val="004D55C5"/>
    <w:rsid w:val="005233EC"/>
    <w:rsid w:val="00567A87"/>
    <w:rsid w:val="005E5355"/>
    <w:rsid w:val="006C2FD1"/>
    <w:rsid w:val="006C71A5"/>
    <w:rsid w:val="006E37F9"/>
    <w:rsid w:val="00824C14"/>
    <w:rsid w:val="00921CE4"/>
    <w:rsid w:val="009E6D3F"/>
    <w:rsid w:val="009F2FA4"/>
    <w:rsid w:val="00A70A54"/>
    <w:rsid w:val="00A71FA8"/>
    <w:rsid w:val="00AC0100"/>
    <w:rsid w:val="00B173B5"/>
    <w:rsid w:val="00B2362E"/>
    <w:rsid w:val="00B504E9"/>
    <w:rsid w:val="00B62357"/>
    <w:rsid w:val="00C50B15"/>
    <w:rsid w:val="00CC3B31"/>
    <w:rsid w:val="00DC7BC0"/>
    <w:rsid w:val="00E554A8"/>
    <w:rsid w:val="00E8700F"/>
    <w:rsid w:val="00F83A5B"/>
    <w:rsid w:val="00FB1F81"/>
    <w:rsid w:val="00FE6A15"/>
    <w:rsid w:val="00FF3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268B2"/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268B2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033ACB"/>
    <w:pPr>
      <w:keepNext/>
      <w:keepLines/>
      <w:spacing w:before="200" w:after="0" w:line="240" w:lineRule="auto"/>
      <w:outlineLvl w:val="1"/>
    </w:pPr>
    <w:rPr>
      <w:rFonts w:eastAsiaTheme="majorEastAsia" w:cstheme="majorBidi"/>
      <w:b/>
      <w:bCs/>
      <w:color w:val="4F81BD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033ACB"/>
    <w:rPr>
      <w:rFonts w:ascii="Arial Narrow" w:eastAsiaTheme="majorEastAsia" w:hAnsi="Arial Narrow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268B2"/>
    <w:rPr>
      <w:rFonts w:ascii="Arial Narrow" w:eastAsiaTheme="majorEastAsia" w:hAnsi="Arial Narrow" w:cstheme="majorBidi"/>
      <w:b/>
      <w:bCs/>
      <w:color w:val="365F91" w:themeColor="accent1" w:themeShade="BF"/>
      <w:sz w:val="28"/>
      <w:szCs w:val="28"/>
    </w:rPr>
  </w:style>
  <w:style w:type="paragraph" w:styleId="Bezodstpw">
    <w:name w:val="No Spacing"/>
    <w:uiPriority w:val="1"/>
    <w:qFormat/>
    <w:rsid w:val="000268B2"/>
    <w:pPr>
      <w:spacing w:after="0" w:line="240" w:lineRule="auto"/>
    </w:pPr>
    <w:rPr>
      <w:rFonts w:ascii="Arial Narrow" w:hAnsi="Arial Narrow"/>
    </w:rPr>
  </w:style>
  <w:style w:type="paragraph" w:styleId="Tytu">
    <w:name w:val="Title"/>
    <w:basedOn w:val="Normalny"/>
    <w:next w:val="Normalny"/>
    <w:link w:val="TytuZnak"/>
    <w:uiPriority w:val="10"/>
    <w:qFormat/>
    <w:rsid w:val="000268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268B2"/>
    <w:rPr>
      <w:rFonts w:ascii="Arial Narrow" w:eastAsiaTheme="majorEastAsia" w:hAnsi="Arial Narrow" w:cstheme="majorBidi"/>
      <w:color w:val="17365D" w:themeColor="text2" w:themeShade="BF"/>
      <w:spacing w:val="5"/>
      <w:kern w:val="28"/>
      <w:sz w:val="52"/>
      <w:szCs w:val="52"/>
    </w:rPr>
  </w:style>
  <w:style w:type="paragraph" w:styleId="NormalnyWeb">
    <w:name w:val="Normal (Web)"/>
    <w:basedOn w:val="Normalny"/>
    <w:uiPriority w:val="99"/>
    <w:semiHidden/>
    <w:unhideWhenUsed/>
    <w:rsid w:val="00A71FA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37F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37F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37F9"/>
    <w:rPr>
      <w:rFonts w:ascii="Arial Narrow" w:hAnsi="Arial Narrow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37F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37F9"/>
    <w:rPr>
      <w:rFonts w:ascii="Arial Narrow" w:hAnsi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1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11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4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4505</Words>
  <Characters>27030</Characters>
  <Application>Microsoft Office Word</Application>
  <DocSecurity>0</DocSecurity>
  <Lines>225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zoo</dc:creator>
  <cp:lastModifiedBy>lfunka</cp:lastModifiedBy>
  <cp:revision>5</cp:revision>
  <dcterms:created xsi:type="dcterms:W3CDTF">2018-08-07T08:13:00Z</dcterms:created>
  <dcterms:modified xsi:type="dcterms:W3CDTF">2018-08-14T10:41:00Z</dcterms:modified>
</cp:coreProperties>
</file>